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EE2E0" w14:textId="77777777" w:rsidR="004F4D87" w:rsidRPr="00E34E72" w:rsidRDefault="004F4D87" w:rsidP="001D3D28">
      <w:pPr>
        <w:spacing w:line="360" w:lineRule="auto"/>
        <w:jc w:val="center"/>
        <w:rPr>
          <w:rFonts w:ascii="Arial" w:hAnsi="Arial" w:cs="Arial"/>
          <w:b/>
          <w:lang w:val="en-US"/>
        </w:rPr>
      </w:pPr>
      <w:r w:rsidRPr="00E34E72">
        <w:rPr>
          <w:rFonts w:ascii="Arial" w:hAnsi="Arial" w:cs="Arial"/>
          <w:noProof/>
          <w:sz w:val="24"/>
          <w:szCs w:val="24"/>
          <w:lang w:val="en-US"/>
        </w:rPr>
        <w:drawing>
          <wp:inline distT="0" distB="0" distL="0" distR="0" wp14:anchorId="58068F90" wp14:editId="0EBE632E">
            <wp:extent cx="3371850" cy="628650"/>
            <wp:effectExtent l="0" t="0" r="0" b="0"/>
            <wp:docPr id="6" name="Grafik 6" descr="GFMD-Logo-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MD-Logo-2017-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628650"/>
                    </a:xfrm>
                    <a:prstGeom prst="rect">
                      <a:avLst/>
                    </a:prstGeom>
                    <a:noFill/>
                  </pic:spPr>
                </pic:pic>
              </a:graphicData>
            </a:graphic>
          </wp:inline>
        </w:drawing>
      </w:r>
    </w:p>
    <w:p w14:paraId="17725962" w14:textId="77777777" w:rsidR="008D1F16" w:rsidRDefault="00195B78" w:rsidP="006A28E7">
      <w:pPr>
        <w:spacing w:line="360" w:lineRule="auto"/>
        <w:jc w:val="center"/>
        <w:rPr>
          <w:rFonts w:ascii="Arial" w:hAnsi="Arial" w:cs="Arial"/>
          <w:b/>
          <w:lang w:val="en-US"/>
        </w:rPr>
      </w:pPr>
      <w:r w:rsidRPr="00E34E72">
        <w:rPr>
          <w:rFonts w:ascii="Arial" w:hAnsi="Arial" w:cs="Arial"/>
          <w:b/>
          <w:lang w:val="en-US"/>
        </w:rPr>
        <w:t>Ad hoc Working Group on the 2030 Agenda and the Global Compact on Migration</w:t>
      </w:r>
      <w:r w:rsidR="005F220F" w:rsidRPr="00E34E72">
        <w:rPr>
          <w:rFonts w:ascii="Arial" w:hAnsi="Arial" w:cs="Arial"/>
          <w:b/>
          <w:lang w:val="en-US"/>
        </w:rPr>
        <w:br/>
      </w:r>
    </w:p>
    <w:p w14:paraId="18DBCC50" w14:textId="77777777" w:rsidR="00064686" w:rsidRPr="00E34E72" w:rsidRDefault="005F220F" w:rsidP="006A28E7">
      <w:pPr>
        <w:spacing w:line="360" w:lineRule="auto"/>
        <w:jc w:val="center"/>
        <w:rPr>
          <w:rFonts w:ascii="Arial" w:hAnsi="Arial" w:cs="Arial"/>
          <w:lang w:val="en-US"/>
        </w:rPr>
      </w:pPr>
      <w:r w:rsidRPr="00E34E72">
        <w:rPr>
          <w:rFonts w:ascii="Arial" w:hAnsi="Arial" w:cs="Arial"/>
          <w:b/>
          <w:lang w:val="en-US"/>
        </w:rPr>
        <w:t>Recommendations to the 2017 High-Level Political Forum</w:t>
      </w:r>
      <w:r w:rsidR="00172F05" w:rsidRPr="00E34E72">
        <w:rPr>
          <w:rFonts w:ascii="Arial" w:hAnsi="Arial" w:cs="Arial"/>
          <w:b/>
          <w:lang w:val="en-US"/>
        </w:rPr>
        <w:br/>
      </w:r>
      <w:r w:rsidR="00A92E69">
        <w:rPr>
          <w:rFonts w:ascii="Arial" w:hAnsi="Arial" w:cs="Arial"/>
          <w:b/>
          <w:lang w:val="en-US"/>
        </w:rPr>
        <w:t>22</w:t>
      </w:r>
      <w:r w:rsidR="006A28E7" w:rsidRPr="00E34E72">
        <w:rPr>
          <w:rFonts w:ascii="Arial" w:hAnsi="Arial" w:cs="Arial"/>
          <w:b/>
          <w:lang w:val="en-US"/>
        </w:rPr>
        <w:t xml:space="preserve"> </w:t>
      </w:r>
      <w:r w:rsidR="00F521CB" w:rsidRPr="00E34E72">
        <w:rPr>
          <w:rFonts w:ascii="Arial" w:hAnsi="Arial" w:cs="Arial"/>
          <w:b/>
          <w:lang w:val="en-US"/>
        </w:rPr>
        <w:t>March</w:t>
      </w:r>
      <w:r w:rsidR="00195B78" w:rsidRPr="00E34E72">
        <w:rPr>
          <w:rFonts w:ascii="Arial" w:hAnsi="Arial" w:cs="Arial"/>
          <w:b/>
          <w:lang w:val="en-US"/>
        </w:rPr>
        <w:t xml:space="preserve"> 2017</w:t>
      </w:r>
    </w:p>
    <w:p w14:paraId="4339C605" w14:textId="77777777" w:rsidR="00195B78" w:rsidRPr="00E34E72" w:rsidRDefault="00861425" w:rsidP="006A6B4B">
      <w:pPr>
        <w:spacing w:line="360" w:lineRule="auto"/>
        <w:jc w:val="both"/>
        <w:rPr>
          <w:rFonts w:ascii="Arial" w:hAnsi="Arial" w:cs="Arial"/>
          <w:b/>
          <w:sz w:val="24"/>
          <w:szCs w:val="24"/>
          <w:u w:val="single"/>
          <w:lang w:val="en-US"/>
        </w:rPr>
      </w:pPr>
      <w:r w:rsidRPr="00E34E72">
        <w:rPr>
          <w:rFonts w:ascii="Arial" w:hAnsi="Arial" w:cs="Arial"/>
          <w:b/>
          <w:u w:val="single"/>
          <w:lang w:val="en-US"/>
        </w:rPr>
        <w:t>Foreword</w:t>
      </w:r>
    </w:p>
    <w:p w14:paraId="1A6E870F" w14:textId="77777777" w:rsidR="009C263E" w:rsidRPr="00E34E72" w:rsidRDefault="005F220F" w:rsidP="009C263E">
      <w:pPr>
        <w:spacing w:after="0" w:line="360" w:lineRule="auto"/>
        <w:jc w:val="both"/>
        <w:rPr>
          <w:rFonts w:ascii="Arial" w:hAnsi="Arial" w:cs="Arial"/>
          <w:lang w:val="en-US"/>
        </w:rPr>
      </w:pPr>
      <w:r w:rsidRPr="00E34E72">
        <w:rPr>
          <w:rFonts w:ascii="Arial" w:hAnsi="Arial" w:cs="Arial"/>
          <w:lang w:val="en-US"/>
        </w:rPr>
        <w:t xml:space="preserve">As an intergovernmental body, the </w:t>
      </w:r>
      <w:r w:rsidR="006C5647" w:rsidRPr="00E34E72">
        <w:rPr>
          <w:rFonts w:ascii="Arial" w:hAnsi="Arial" w:cs="Arial"/>
          <w:lang w:val="en-US"/>
        </w:rPr>
        <w:t>Global Forum on Migration and Development (</w:t>
      </w:r>
      <w:r w:rsidRPr="00E34E72">
        <w:rPr>
          <w:rFonts w:ascii="Arial" w:hAnsi="Arial" w:cs="Arial"/>
          <w:lang w:val="en-US"/>
        </w:rPr>
        <w:t>GFMD</w:t>
      </w:r>
      <w:r w:rsidR="006C5647" w:rsidRPr="00E34E72">
        <w:rPr>
          <w:rFonts w:ascii="Arial" w:hAnsi="Arial" w:cs="Arial"/>
          <w:lang w:val="en-US"/>
        </w:rPr>
        <w:t>)</w:t>
      </w:r>
      <w:r w:rsidRPr="00E34E72">
        <w:rPr>
          <w:rFonts w:ascii="Arial" w:hAnsi="Arial" w:cs="Arial"/>
          <w:lang w:val="en-US"/>
        </w:rPr>
        <w:t xml:space="preserve"> has been invit</w:t>
      </w:r>
      <w:r w:rsidR="006C5647" w:rsidRPr="00E34E72">
        <w:rPr>
          <w:rFonts w:ascii="Arial" w:hAnsi="Arial" w:cs="Arial"/>
          <w:lang w:val="en-US"/>
        </w:rPr>
        <w:t>ed to provide substantive input</w:t>
      </w:r>
      <w:r w:rsidRPr="00E34E72">
        <w:rPr>
          <w:rFonts w:ascii="Arial" w:hAnsi="Arial" w:cs="Arial"/>
          <w:lang w:val="en-US"/>
        </w:rPr>
        <w:t xml:space="preserve"> to the 2017 High-Level Political Forum (HLPF) showcasing its contribution towards the 2030 Agenda in general, and particularly for the Sustainable Development Goals (SDGs) and respective targets that are most relevant to GFMD’s mandate. </w:t>
      </w:r>
      <w:r w:rsidRPr="00E34E72">
        <w:rPr>
          <w:rFonts w:ascii="Arial" w:hAnsi="Arial" w:cs="Arial"/>
          <w:b/>
          <w:lang w:val="en-US"/>
        </w:rPr>
        <w:t>The theme of the 20</w:t>
      </w:r>
      <w:r w:rsidR="00D123E0" w:rsidRPr="00E34E72">
        <w:rPr>
          <w:rFonts w:ascii="Arial" w:hAnsi="Arial" w:cs="Arial"/>
          <w:b/>
          <w:lang w:val="en-US"/>
        </w:rPr>
        <w:t>1</w:t>
      </w:r>
      <w:r w:rsidRPr="00E34E72">
        <w:rPr>
          <w:rFonts w:ascii="Arial" w:hAnsi="Arial" w:cs="Arial"/>
          <w:b/>
          <w:lang w:val="en-US"/>
        </w:rPr>
        <w:t>7 HLPF is “Eradicating poverty and promoting prosperity in a changing world”.</w:t>
      </w:r>
      <w:r w:rsidRPr="00E34E72">
        <w:rPr>
          <w:rFonts w:ascii="Arial" w:hAnsi="Arial" w:cs="Arial"/>
          <w:lang w:val="en-US"/>
        </w:rPr>
        <w:t xml:space="preserve"> While all 17 SDGs will be examined from the perspective of this theme, the following SDGs will receive particular attention</w:t>
      </w:r>
      <w:r w:rsidR="006C5647" w:rsidRPr="00E34E72">
        <w:rPr>
          <w:rFonts w:ascii="Arial" w:hAnsi="Arial" w:cs="Arial"/>
          <w:lang w:val="en-US"/>
        </w:rPr>
        <w:t xml:space="preserve"> in 2017</w:t>
      </w:r>
      <w:r w:rsidRPr="00E34E72">
        <w:rPr>
          <w:rFonts w:ascii="Arial" w:hAnsi="Arial" w:cs="Arial"/>
          <w:lang w:val="en-US"/>
        </w:rPr>
        <w:t xml:space="preserve">: </w:t>
      </w:r>
    </w:p>
    <w:p w14:paraId="1D400ABD" w14:textId="77777777" w:rsidR="00172F05" w:rsidRPr="00E34E72" w:rsidRDefault="00172F05" w:rsidP="009C263E">
      <w:pPr>
        <w:spacing w:after="0" w:line="360" w:lineRule="auto"/>
        <w:jc w:val="both"/>
        <w:rPr>
          <w:rFonts w:ascii="Arial" w:hAnsi="Arial" w:cs="Arial"/>
          <w:lang w:val="en-US"/>
        </w:rPr>
      </w:pPr>
    </w:p>
    <w:p w14:paraId="3CE8C8A8"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1. End poverty in all its forms everywhere</w:t>
      </w:r>
    </w:p>
    <w:p w14:paraId="4966A042"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2. End hunger, achieve food security and improved nutrition and promote sustainable agriculture</w:t>
      </w:r>
    </w:p>
    <w:p w14:paraId="011EEBE8"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3. Ensure healthy lives and promote well-being for all at all ages</w:t>
      </w:r>
    </w:p>
    <w:p w14:paraId="1A4CD449"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5. Achieve gender equality and empower all women and girls</w:t>
      </w:r>
    </w:p>
    <w:p w14:paraId="1078C66C"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9. Build resilient infrastructure, promote inclusive and sustainable industrialization and foster innovation</w:t>
      </w:r>
    </w:p>
    <w:p w14:paraId="0460CA4F"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14. Conserve and sustainably use the oceans, seas and marine resources for sustainable development</w:t>
      </w:r>
    </w:p>
    <w:p w14:paraId="103DE2DA" w14:textId="77777777" w:rsidR="005F220F" w:rsidRPr="00E34E72" w:rsidRDefault="005F220F" w:rsidP="009C263E">
      <w:pPr>
        <w:pStyle w:val="ListParagraph"/>
        <w:numPr>
          <w:ilvl w:val="0"/>
          <w:numId w:val="1"/>
        </w:numPr>
        <w:spacing w:after="0" w:line="360" w:lineRule="auto"/>
        <w:ind w:left="714" w:hanging="357"/>
        <w:jc w:val="both"/>
        <w:rPr>
          <w:rFonts w:ascii="Arial" w:hAnsi="Arial" w:cs="Arial"/>
          <w:lang w:val="en-US"/>
        </w:rPr>
      </w:pPr>
      <w:r w:rsidRPr="00E34E72">
        <w:rPr>
          <w:rFonts w:ascii="Arial" w:hAnsi="Arial" w:cs="Arial"/>
          <w:lang w:val="en-US"/>
        </w:rPr>
        <w:t>Goal 17: Partnerships for the Goals</w:t>
      </w:r>
    </w:p>
    <w:p w14:paraId="31346C1F" w14:textId="77777777" w:rsidR="009C263E" w:rsidRPr="00E34E72" w:rsidRDefault="009C263E" w:rsidP="009C263E">
      <w:pPr>
        <w:spacing w:after="0" w:line="360" w:lineRule="auto"/>
        <w:jc w:val="both"/>
        <w:rPr>
          <w:rFonts w:ascii="Arial" w:hAnsi="Arial" w:cs="Arial"/>
          <w:lang w:val="en-US"/>
        </w:rPr>
      </w:pPr>
    </w:p>
    <w:p w14:paraId="4324B5D2" w14:textId="5E43C3D6" w:rsidR="009C263E" w:rsidRPr="00E34E72" w:rsidRDefault="005F220F" w:rsidP="009C263E">
      <w:pPr>
        <w:spacing w:after="0" w:line="360" w:lineRule="auto"/>
        <w:jc w:val="both"/>
        <w:rPr>
          <w:rFonts w:ascii="Arial" w:hAnsi="Arial" w:cs="Arial"/>
          <w:lang w:val="en-US"/>
        </w:rPr>
      </w:pPr>
      <w:r w:rsidRPr="00E34E72">
        <w:rPr>
          <w:rFonts w:ascii="Arial" w:hAnsi="Arial" w:cs="Arial"/>
          <w:lang w:val="en-US"/>
        </w:rPr>
        <w:t xml:space="preserve">Taking up this invitation, the </w:t>
      </w:r>
      <w:r w:rsidR="00610163">
        <w:rPr>
          <w:rFonts w:ascii="Arial" w:hAnsi="Arial" w:cs="Arial"/>
          <w:lang w:val="en-US"/>
        </w:rPr>
        <w:t>a</w:t>
      </w:r>
      <w:r w:rsidR="00195B78" w:rsidRPr="00E34E72">
        <w:rPr>
          <w:rFonts w:ascii="Arial" w:hAnsi="Arial" w:cs="Arial"/>
          <w:lang w:val="en-US"/>
        </w:rPr>
        <w:t>d hoc</w:t>
      </w:r>
      <w:r w:rsidRPr="00E34E72">
        <w:rPr>
          <w:rFonts w:ascii="Arial" w:hAnsi="Arial" w:cs="Arial"/>
          <w:lang w:val="en-US"/>
        </w:rPr>
        <w:t xml:space="preserve"> Working Group on the 2030 Agenda and the Global Compact on Migration under the co-chairmanship of Germany and Bangladesh</w:t>
      </w:r>
      <w:r w:rsidR="006C5647" w:rsidRPr="00E34E72">
        <w:rPr>
          <w:rFonts w:ascii="Arial" w:hAnsi="Arial" w:cs="Arial"/>
          <w:lang w:val="en-US"/>
        </w:rPr>
        <w:t xml:space="preserve"> prepared </w:t>
      </w:r>
      <w:r w:rsidR="00557785" w:rsidRPr="00E34E72">
        <w:rPr>
          <w:rFonts w:ascii="Arial" w:hAnsi="Arial" w:cs="Arial"/>
          <w:lang w:val="en-US"/>
        </w:rPr>
        <w:t xml:space="preserve">the following GFMD contribution </w:t>
      </w:r>
      <w:r w:rsidR="006C5647" w:rsidRPr="00E34E72">
        <w:rPr>
          <w:rFonts w:ascii="Arial" w:hAnsi="Arial" w:cs="Arial"/>
          <w:lang w:val="en-US"/>
        </w:rPr>
        <w:t>along the template</w:t>
      </w:r>
      <w:r w:rsidR="00B52060" w:rsidRPr="00E34E72">
        <w:rPr>
          <w:rFonts w:ascii="Arial" w:hAnsi="Arial" w:cs="Arial"/>
          <w:lang w:val="en-US"/>
        </w:rPr>
        <w:t xml:space="preserve"> for submitting HLPF contributions</w:t>
      </w:r>
      <w:r w:rsidR="009C263E" w:rsidRPr="00E34E72">
        <w:rPr>
          <w:rFonts w:ascii="Arial" w:hAnsi="Arial" w:cs="Arial"/>
          <w:lang w:val="en-US"/>
        </w:rPr>
        <w:t>.</w:t>
      </w:r>
      <w:r w:rsidR="00D7123C" w:rsidRPr="00E34E72">
        <w:rPr>
          <w:rStyle w:val="FootnoteReference"/>
          <w:rFonts w:ascii="Arial" w:hAnsi="Arial" w:cs="Arial"/>
          <w:lang w:val="en-US"/>
        </w:rPr>
        <w:footnoteReference w:id="1"/>
      </w:r>
    </w:p>
    <w:p w14:paraId="725FFF3B" w14:textId="77777777" w:rsidR="009C263E" w:rsidRPr="00E34E72" w:rsidRDefault="009C263E">
      <w:pPr>
        <w:rPr>
          <w:rFonts w:ascii="Arial" w:hAnsi="Arial" w:cs="Arial"/>
          <w:lang w:val="en-US"/>
        </w:rPr>
      </w:pPr>
      <w:r w:rsidRPr="00E34E72">
        <w:rPr>
          <w:rFonts w:ascii="Arial" w:hAnsi="Arial" w:cs="Arial"/>
          <w:lang w:val="en-US"/>
        </w:rPr>
        <w:br w:type="page"/>
      </w:r>
    </w:p>
    <w:p w14:paraId="67CF7CF5" w14:textId="77777777" w:rsidR="00861425" w:rsidRPr="00E34E72" w:rsidRDefault="00361764" w:rsidP="006A6B4B">
      <w:pPr>
        <w:spacing w:line="360" w:lineRule="auto"/>
        <w:jc w:val="both"/>
        <w:rPr>
          <w:rFonts w:ascii="Arial" w:hAnsi="Arial" w:cs="Arial"/>
          <w:lang w:val="en-US"/>
        </w:rPr>
      </w:pPr>
      <w:r w:rsidRPr="00E34E72">
        <w:rPr>
          <w:rFonts w:ascii="Arial" w:hAnsi="Arial" w:cs="Arial"/>
          <w:b/>
          <w:lang w:val="en-US"/>
        </w:rPr>
        <w:lastRenderedPageBreak/>
        <w:t xml:space="preserve">(a) </w:t>
      </w:r>
      <w:r w:rsidR="009C263E" w:rsidRPr="00E34E72">
        <w:rPr>
          <w:rFonts w:ascii="Arial" w:hAnsi="Arial" w:cs="Arial"/>
          <w:b/>
          <w:lang w:val="en-US"/>
        </w:rPr>
        <w:t>A</w:t>
      </w:r>
      <w:r w:rsidRPr="00E34E72">
        <w:rPr>
          <w:rFonts w:ascii="Arial" w:hAnsi="Arial" w:cs="Arial"/>
          <w:b/>
          <w:lang w:val="en-US"/>
        </w:rPr>
        <w:t>n assessment of the situation regarding the principle of “ensuring that no one is left behind” at the global level</w:t>
      </w:r>
    </w:p>
    <w:p w14:paraId="1DF9AD08" w14:textId="3CF10D06" w:rsidR="006A28E7" w:rsidRPr="00E34E72" w:rsidRDefault="00861425" w:rsidP="006A28E7">
      <w:pPr>
        <w:spacing w:line="360" w:lineRule="auto"/>
        <w:jc w:val="both"/>
        <w:rPr>
          <w:rFonts w:ascii="Arial" w:hAnsi="Arial" w:cs="Arial"/>
          <w:b/>
          <w:lang w:val="en-US"/>
        </w:rPr>
      </w:pPr>
      <w:r w:rsidRPr="00E34E72">
        <w:rPr>
          <w:rFonts w:ascii="Arial" w:hAnsi="Arial" w:cs="Arial"/>
          <w:lang w:val="en-US"/>
        </w:rPr>
        <w:t xml:space="preserve">The </w:t>
      </w:r>
      <w:r w:rsidR="00172F05" w:rsidRPr="00E34E72">
        <w:rPr>
          <w:rFonts w:ascii="Arial" w:hAnsi="Arial" w:cs="Arial"/>
          <w:lang w:val="en-US"/>
        </w:rPr>
        <w:t>2030 Agenda</w:t>
      </w:r>
      <w:r w:rsidRPr="00E34E72">
        <w:rPr>
          <w:rFonts w:ascii="Arial" w:hAnsi="Arial" w:cs="Arial"/>
          <w:lang w:val="en-US"/>
        </w:rPr>
        <w:t xml:space="preserve"> for sustainable development has been named a </w:t>
      </w:r>
      <w:r w:rsidRPr="00E34E72">
        <w:rPr>
          <w:rFonts w:ascii="Arial" w:hAnsi="Arial" w:cs="Arial"/>
          <w:b/>
          <w:lang w:val="en-US"/>
        </w:rPr>
        <w:t>“declaration of interdependence”</w:t>
      </w:r>
      <w:r w:rsidRPr="00E34E72">
        <w:rPr>
          <w:rFonts w:ascii="Arial" w:hAnsi="Arial" w:cs="Arial"/>
          <w:lang w:val="en-US"/>
        </w:rPr>
        <w:t xml:space="preserve"> – a statement that especially holds true for migration </w:t>
      </w:r>
      <w:r w:rsidR="000475BA" w:rsidRPr="00E34E72">
        <w:rPr>
          <w:rFonts w:ascii="Arial" w:hAnsi="Arial" w:cs="Arial"/>
          <w:lang w:val="en-US"/>
        </w:rPr>
        <w:t>which links countries of origin and destination and has great influence on the lives of millions of migrants and their families</w:t>
      </w:r>
      <w:r w:rsidRPr="00E34E72">
        <w:rPr>
          <w:rFonts w:ascii="Arial" w:hAnsi="Arial" w:cs="Arial"/>
          <w:lang w:val="en-US"/>
        </w:rPr>
        <w:t xml:space="preserve">. </w:t>
      </w:r>
      <w:r w:rsidR="00361764" w:rsidRPr="00E34E72">
        <w:rPr>
          <w:rFonts w:ascii="Arial" w:hAnsi="Arial" w:cs="Arial"/>
          <w:lang w:val="en-US"/>
        </w:rPr>
        <w:t>Migrants can be a particularly vulnerable group</w:t>
      </w:r>
      <w:r w:rsidR="00987B13" w:rsidRPr="00E34E72">
        <w:rPr>
          <w:rStyle w:val="FootnoteReference"/>
          <w:rFonts w:ascii="Arial" w:hAnsi="Arial" w:cs="Arial"/>
          <w:lang w:val="en-US"/>
        </w:rPr>
        <w:footnoteReference w:id="2"/>
      </w:r>
      <w:r w:rsidR="00361764" w:rsidRPr="00E34E72">
        <w:rPr>
          <w:rFonts w:ascii="Arial" w:hAnsi="Arial" w:cs="Arial"/>
          <w:lang w:val="en-US"/>
        </w:rPr>
        <w:t xml:space="preserve">, which deserves a particular protection in order to ensure that they will </w:t>
      </w:r>
      <w:r w:rsidR="006C5647" w:rsidRPr="00E34E72">
        <w:rPr>
          <w:rFonts w:ascii="Arial" w:hAnsi="Arial" w:cs="Arial"/>
          <w:lang w:val="en-US"/>
        </w:rPr>
        <w:t>not be left behind. However, one should also</w:t>
      </w:r>
      <w:r w:rsidR="00361764" w:rsidRPr="00E34E72">
        <w:rPr>
          <w:rFonts w:ascii="Arial" w:hAnsi="Arial" w:cs="Arial"/>
          <w:lang w:val="en-US"/>
        </w:rPr>
        <w:t xml:space="preserve"> </w:t>
      </w:r>
      <w:r w:rsidR="006C5647" w:rsidRPr="00E34E72">
        <w:rPr>
          <w:rFonts w:ascii="Arial" w:hAnsi="Arial" w:cs="Arial"/>
          <w:lang w:val="en-US"/>
        </w:rPr>
        <w:t xml:space="preserve">bear in mind that migration very often </w:t>
      </w:r>
      <w:r w:rsidR="006C5647" w:rsidRPr="00E34E72">
        <w:rPr>
          <w:rFonts w:ascii="Arial" w:hAnsi="Arial" w:cs="Arial"/>
          <w:b/>
          <w:lang w:val="en-US"/>
        </w:rPr>
        <w:t>is</w:t>
      </w:r>
      <w:r w:rsidR="006C5647" w:rsidRPr="00E34E72">
        <w:rPr>
          <w:rFonts w:ascii="Arial" w:hAnsi="Arial" w:cs="Arial"/>
          <w:lang w:val="en-US"/>
        </w:rPr>
        <w:t xml:space="preserve"> development and migrants are </w:t>
      </w:r>
      <w:r w:rsidR="00361764" w:rsidRPr="00E34E72">
        <w:rPr>
          <w:rFonts w:ascii="Arial" w:hAnsi="Arial" w:cs="Arial"/>
          <w:lang w:val="en-US"/>
        </w:rPr>
        <w:t>actors for development capable of bringing about positive change to their countries of origin and destination, therefore creating benefits for others and alleviating poverty.</w:t>
      </w:r>
      <w:r w:rsidR="00F75E14" w:rsidRPr="00E34E72">
        <w:rPr>
          <w:rStyle w:val="FootnoteReference"/>
          <w:rFonts w:ascii="Arial" w:hAnsi="Arial" w:cs="Arial"/>
          <w:lang w:val="en-US"/>
        </w:rPr>
        <w:footnoteReference w:id="3"/>
      </w:r>
      <w:r w:rsidR="00361764" w:rsidRPr="00E34E72">
        <w:rPr>
          <w:rFonts w:ascii="Arial" w:hAnsi="Arial" w:cs="Arial"/>
          <w:lang w:val="en-US"/>
        </w:rPr>
        <w:t xml:space="preserve"> </w:t>
      </w:r>
      <w:r w:rsidR="006A28E7" w:rsidRPr="00E34E72">
        <w:rPr>
          <w:rFonts w:ascii="Arial" w:hAnsi="Arial" w:cs="Arial"/>
          <w:u w:val="single"/>
          <w:lang w:val="en-US"/>
        </w:rPr>
        <w:t xml:space="preserve">This report showcases this </w:t>
      </w:r>
      <w:r w:rsidR="00610163">
        <w:rPr>
          <w:rFonts w:ascii="Arial" w:hAnsi="Arial" w:cs="Arial"/>
          <w:u w:val="single"/>
          <w:lang w:val="en-US"/>
        </w:rPr>
        <w:t>interdependence</w:t>
      </w:r>
      <w:r w:rsidR="006A28E7" w:rsidRPr="00E34E72">
        <w:rPr>
          <w:rFonts w:ascii="Arial" w:hAnsi="Arial" w:cs="Arial"/>
          <w:u w:val="single"/>
          <w:lang w:val="en-US"/>
        </w:rPr>
        <w:t xml:space="preserve"> with a view to migration through concrete examples.</w:t>
      </w:r>
    </w:p>
    <w:p w14:paraId="0E6FC036" w14:textId="68BCCDD1" w:rsidR="00861425" w:rsidRPr="00E34E72" w:rsidRDefault="00861425" w:rsidP="006A6B4B">
      <w:pPr>
        <w:spacing w:line="360" w:lineRule="auto"/>
        <w:jc w:val="both"/>
        <w:rPr>
          <w:rFonts w:ascii="Arial" w:hAnsi="Arial" w:cs="Arial"/>
          <w:b/>
          <w:lang w:val="en-US"/>
        </w:rPr>
      </w:pPr>
      <w:r w:rsidRPr="00E34E72">
        <w:rPr>
          <w:rFonts w:ascii="Arial" w:hAnsi="Arial" w:cs="Arial"/>
          <w:b/>
          <w:lang w:val="en-US"/>
        </w:rPr>
        <w:t>GFMD has in the past been successful in trust-building</w:t>
      </w:r>
      <w:r w:rsidRPr="00E34E72">
        <w:rPr>
          <w:rFonts w:ascii="Arial" w:hAnsi="Arial" w:cs="Arial"/>
          <w:lang w:val="en-US"/>
        </w:rPr>
        <w:t xml:space="preserve"> between and among stakeholders, international organizations, the civil society and private sector. </w:t>
      </w:r>
      <w:r w:rsidR="006C5647" w:rsidRPr="00E34E72">
        <w:rPr>
          <w:rFonts w:ascii="Arial" w:hAnsi="Arial" w:cs="Arial"/>
          <w:lang w:val="en-US"/>
        </w:rPr>
        <w:t>This approach can</w:t>
      </w:r>
      <w:r w:rsidRPr="00E34E72">
        <w:rPr>
          <w:rFonts w:ascii="Arial" w:hAnsi="Arial" w:cs="Arial"/>
          <w:lang w:val="en-US"/>
        </w:rPr>
        <w:t xml:space="preserve"> also be </w:t>
      </w:r>
      <w:r w:rsidRPr="00E34E72">
        <w:rPr>
          <w:rFonts w:ascii="Arial" w:hAnsi="Arial" w:cs="Arial"/>
          <w:u w:val="single"/>
          <w:lang w:val="en-US"/>
        </w:rPr>
        <w:t>effective in facilitating an exchange on the 2030 Agenda and mi</w:t>
      </w:r>
      <w:r w:rsidR="006C5647" w:rsidRPr="00E34E72">
        <w:rPr>
          <w:rFonts w:ascii="Arial" w:hAnsi="Arial" w:cs="Arial"/>
          <w:u w:val="single"/>
          <w:lang w:val="en-US"/>
        </w:rPr>
        <w:t>gration-related SDGs</w:t>
      </w:r>
      <w:r w:rsidRPr="00E34E72">
        <w:rPr>
          <w:rFonts w:ascii="Arial" w:hAnsi="Arial" w:cs="Arial"/>
          <w:lang w:val="en-US"/>
        </w:rPr>
        <w:t>.</w:t>
      </w:r>
      <w:r w:rsidR="006A28E7" w:rsidRPr="00E34E72">
        <w:rPr>
          <w:rFonts w:ascii="Arial" w:hAnsi="Arial" w:cs="Arial"/>
          <w:lang w:val="en-US"/>
        </w:rPr>
        <w:t xml:space="preserve"> As emphasized in the final report of the GFMD ad hoc Working Group on the 2030 Agenda, which was adopted at the Dhaka Summit in December 2016, the GFMD will continuously</w:t>
      </w:r>
      <w:r w:rsidRPr="00E34E72">
        <w:rPr>
          <w:rFonts w:ascii="Arial" w:hAnsi="Arial" w:cs="Arial"/>
          <w:lang w:val="en-US"/>
        </w:rPr>
        <w:t xml:space="preserve">: a) </w:t>
      </w:r>
      <w:r w:rsidRPr="00E34E72">
        <w:rPr>
          <w:rFonts w:ascii="Arial" w:hAnsi="Arial" w:cs="Arial"/>
          <w:u w:val="single"/>
          <w:lang w:val="en-US"/>
        </w:rPr>
        <w:t>provide a platform</w:t>
      </w:r>
      <w:r w:rsidRPr="00E34E72">
        <w:rPr>
          <w:rFonts w:ascii="Arial" w:hAnsi="Arial" w:cs="Arial"/>
          <w:lang w:val="en-US"/>
        </w:rPr>
        <w:t xml:space="preserve"> for voluntary sharing of experience, progress and evidence</w:t>
      </w:r>
      <w:r w:rsidR="00CD76D0">
        <w:rPr>
          <w:rFonts w:ascii="Arial" w:hAnsi="Arial" w:cs="Arial"/>
          <w:lang w:val="en-US"/>
        </w:rPr>
        <w:t xml:space="preserve"> on migration aspects of the 2030 Agenda,</w:t>
      </w:r>
      <w:r w:rsidRPr="00E34E72">
        <w:rPr>
          <w:rFonts w:ascii="Arial" w:hAnsi="Arial" w:cs="Arial"/>
          <w:lang w:val="en-US"/>
        </w:rPr>
        <w:t xml:space="preserve"> b) </w:t>
      </w:r>
      <w:r w:rsidRPr="00E34E72">
        <w:rPr>
          <w:rFonts w:ascii="Arial" w:hAnsi="Arial" w:cs="Arial"/>
          <w:u w:val="single"/>
          <w:lang w:val="en-US"/>
        </w:rPr>
        <w:t>facilitate voluntary action and joint solutions</w:t>
      </w:r>
      <w:r w:rsidRPr="00E34E72">
        <w:rPr>
          <w:rFonts w:ascii="Arial" w:hAnsi="Arial" w:cs="Arial"/>
          <w:lang w:val="en-US"/>
        </w:rPr>
        <w:t xml:space="preserve"> through partnerships a</w:t>
      </w:r>
      <w:r w:rsidR="00CD76D0">
        <w:rPr>
          <w:rFonts w:ascii="Arial" w:hAnsi="Arial" w:cs="Arial"/>
          <w:lang w:val="en-US"/>
        </w:rPr>
        <w:t xml:space="preserve"> on migration aspects of the 2030 Agenda a</w:t>
      </w:r>
      <w:r w:rsidRPr="00E34E72">
        <w:rPr>
          <w:rFonts w:ascii="Arial" w:hAnsi="Arial" w:cs="Arial"/>
          <w:lang w:val="en-US"/>
        </w:rPr>
        <w:t xml:space="preserve">nd c) </w:t>
      </w:r>
      <w:r w:rsidRPr="00E34E72">
        <w:rPr>
          <w:rFonts w:ascii="Arial" w:hAnsi="Arial" w:cs="Arial"/>
          <w:u w:val="single"/>
          <w:lang w:val="en-US"/>
        </w:rPr>
        <w:t>ensure clarity, objectivity and coherence</w:t>
      </w:r>
      <w:r w:rsidRPr="00E34E72">
        <w:rPr>
          <w:rFonts w:ascii="Arial" w:hAnsi="Arial" w:cs="Arial"/>
          <w:lang w:val="en-US"/>
        </w:rPr>
        <w:t xml:space="preserve"> in the global debate on migration and development.</w:t>
      </w:r>
    </w:p>
    <w:p w14:paraId="702D82D9" w14:textId="2E30CC67" w:rsidR="002F1216" w:rsidRPr="00E34E72" w:rsidRDefault="002F1216" w:rsidP="006A6B4B">
      <w:pPr>
        <w:spacing w:line="360" w:lineRule="auto"/>
        <w:jc w:val="both"/>
        <w:rPr>
          <w:rFonts w:ascii="Arial" w:hAnsi="Arial" w:cs="Arial"/>
          <w:lang w:val="en-US"/>
        </w:rPr>
      </w:pPr>
      <w:r w:rsidRPr="00E34E72">
        <w:rPr>
          <w:rFonts w:ascii="Arial" w:hAnsi="Arial" w:cs="Arial"/>
          <w:lang w:val="en-US"/>
        </w:rPr>
        <w:t>This</w:t>
      </w:r>
      <w:r w:rsidR="00861425" w:rsidRPr="00E34E72">
        <w:rPr>
          <w:rFonts w:ascii="Arial" w:hAnsi="Arial" w:cs="Arial"/>
          <w:lang w:val="en-US"/>
        </w:rPr>
        <w:t xml:space="preserve"> report </w:t>
      </w:r>
      <w:r w:rsidR="006A28E7" w:rsidRPr="00E34E72">
        <w:rPr>
          <w:rFonts w:ascii="Arial" w:hAnsi="Arial" w:cs="Arial"/>
          <w:lang w:val="en-US"/>
        </w:rPr>
        <w:t xml:space="preserve">highlights </w:t>
      </w:r>
      <w:r w:rsidR="006C5647" w:rsidRPr="00E34E72">
        <w:rPr>
          <w:rFonts w:ascii="Arial" w:hAnsi="Arial" w:cs="Arial"/>
          <w:lang w:val="en-US"/>
        </w:rPr>
        <w:t xml:space="preserve">the manifold </w:t>
      </w:r>
      <w:r w:rsidR="00861425" w:rsidRPr="00E34E72">
        <w:rPr>
          <w:rFonts w:ascii="Arial" w:hAnsi="Arial" w:cs="Arial"/>
          <w:b/>
          <w:lang w:val="en-US"/>
        </w:rPr>
        <w:t>linkag</w:t>
      </w:r>
      <w:r w:rsidR="006C5647" w:rsidRPr="00E34E72">
        <w:rPr>
          <w:rFonts w:ascii="Arial" w:hAnsi="Arial" w:cs="Arial"/>
          <w:b/>
          <w:lang w:val="en-US"/>
        </w:rPr>
        <w:t>es between migration</w:t>
      </w:r>
      <w:r w:rsidR="00861425" w:rsidRPr="00E34E72">
        <w:rPr>
          <w:rFonts w:ascii="Arial" w:hAnsi="Arial" w:cs="Arial"/>
          <w:b/>
          <w:lang w:val="en-US"/>
        </w:rPr>
        <w:t xml:space="preserve"> and the SDGs and explore</w:t>
      </w:r>
      <w:r w:rsidR="000475BA" w:rsidRPr="00E34E72">
        <w:rPr>
          <w:rFonts w:ascii="Arial" w:hAnsi="Arial" w:cs="Arial"/>
          <w:b/>
          <w:lang w:val="en-US"/>
        </w:rPr>
        <w:t>s</w:t>
      </w:r>
      <w:r w:rsidR="00861425" w:rsidRPr="00E34E72">
        <w:rPr>
          <w:rFonts w:ascii="Arial" w:hAnsi="Arial" w:cs="Arial"/>
          <w:b/>
          <w:lang w:val="en-US"/>
        </w:rPr>
        <w:t xml:space="preserve"> the explicit and implicit </w:t>
      </w:r>
      <w:r w:rsidR="00557785" w:rsidRPr="00E34E72">
        <w:rPr>
          <w:rFonts w:ascii="Arial" w:hAnsi="Arial" w:cs="Arial"/>
          <w:b/>
          <w:lang w:val="en-US"/>
        </w:rPr>
        <w:t>references to</w:t>
      </w:r>
      <w:r w:rsidR="00861425" w:rsidRPr="00E34E72">
        <w:rPr>
          <w:rFonts w:ascii="Arial" w:hAnsi="Arial" w:cs="Arial"/>
          <w:b/>
          <w:lang w:val="en-US"/>
        </w:rPr>
        <w:t xml:space="preserve"> </w:t>
      </w:r>
      <w:r w:rsidRPr="00E34E72">
        <w:rPr>
          <w:rFonts w:ascii="Arial" w:hAnsi="Arial" w:cs="Arial"/>
          <w:b/>
          <w:lang w:val="en-US"/>
        </w:rPr>
        <w:t xml:space="preserve">migration in </w:t>
      </w:r>
      <w:r w:rsidR="00861425" w:rsidRPr="00E34E72">
        <w:rPr>
          <w:rFonts w:ascii="Arial" w:hAnsi="Arial" w:cs="Arial"/>
          <w:b/>
          <w:lang w:val="en-US"/>
        </w:rPr>
        <w:t xml:space="preserve">the </w:t>
      </w:r>
      <w:r w:rsidRPr="00E34E72">
        <w:rPr>
          <w:rFonts w:ascii="Arial" w:hAnsi="Arial" w:cs="Arial"/>
          <w:b/>
          <w:lang w:val="en-US"/>
        </w:rPr>
        <w:t>2030 Agenda</w:t>
      </w:r>
      <w:r w:rsidR="00861425" w:rsidRPr="00E34E72">
        <w:rPr>
          <w:rFonts w:ascii="Arial" w:hAnsi="Arial" w:cs="Arial"/>
          <w:lang w:val="en-US"/>
        </w:rPr>
        <w:t>.</w:t>
      </w:r>
      <w:r w:rsidRPr="00E34E72">
        <w:rPr>
          <w:rFonts w:ascii="Arial" w:hAnsi="Arial" w:cs="Arial"/>
          <w:lang w:val="en-US"/>
        </w:rPr>
        <w:t xml:space="preserve"> </w:t>
      </w:r>
      <w:r w:rsidR="00861425" w:rsidRPr="00E34E72">
        <w:rPr>
          <w:rFonts w:ascii="Arial" w:hAnsi="Arial" w:cs="Arial"/>
          <w:lang w:val="en-US"/>
        </w:rPr>
        <w:t xml:space="preserve">Migration issues are being referred to </w:t>
      </w:r>
      <w:r w:rsidR="00861425" w:rsidRPr="00E34E72">
        <w:rPr>
          <w:rFonts w:ascii="Arial" w:hAnsi="Arial" w:cs="Arial"/>
          <w:b/>
          <w:lang w:val="en-US"/>
        </w:rPr>
        <w:t>explicitly</w:t>
      </w:r>
      <w:r w:rsidR="00861425" w:rsidRPr="00E34E72">
        <w:rPr>
          <w:rFonts w:ascii="Arial" w:hAnsi="Arial" w:cs="Arial"/>
          <w:lang w:val="en-US"/>
        </w:rPr>
        <w:t xml:space="preserve"> in </w:t>
      </w:r>
      <w:r w:rsidR="00CD76D0">
        <w:rPr>
          <w:rFonts w:ascii="Arial" w:hAnsi="Arial" w:cs="Arial"/>
          <w:lang w:val="en-US"/>
        </w:rPr>
        <w:t>ten</w:t>
      </w:r>
      <w:r w:rsidR="00CD76D0" w:rsidRPr="00E34E72">
        <w:rPr>
          <w:rFonts w:ascii="Arial" w:hAnsi="Arial" w:cs="Arial"/>
          <w:lang w:val="en-US"/>
        </w:rPr>
        <w:t xml:space="preserve"> </w:t>
      </w:r>
      <w:r w:rsidR="00861425" w:rsidRPr="00E34E72">
        <w:rPr>
          <w:rFonts w:ascii="Arial" w:hAnsi="Arial" w:cs="Arial"/>
          <w:lang w:val="en-US"/>
        </w:rPr>
        <w:t>sub-goals/target</w:t>
      </w:r>
      <w:r w:rsidR="005C35C4" w:rsidRPr="00E34E72">
        <w:rPr>
          <w:rFonts w:ascii="Arial" w:hAnsi="Arial" w:cs="Arial"/>
          <w:lang w:val="en-US"/>
        </w:rPr>
        <w:t>s of the 2030 Agenda. These are:</w:t>
      </w:r>
    </w:p>
    <w:p w14:paraId="1D01B79E"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3</w:t>
      </w:r>
      <w:r w:rsidR="000475BA" w:rsidRPr="00E34E72">
        <w:rPr>
          <w:rFonts w:ascii="Arial" w:hAnsi="Arial" w:cs="Arial"/>
          <w:lang w:val="en-US"/>
        </w:rPr>
        <w:t>.</w:t>
      </w:r>
      <w:r w:rsidRPr="00E34E72">
        <w:rPr>
          <w:rFonts w:ascii="Arial" w:hAnsi="Arial" w:cs="Arial"/>
          <w:lang w:val="en-US"/>
        </w:rPr>
        <w:t>c</w:t>
      </w:r>
      <w:r w:rsidR="00361764" w:rsidRPr="00E34E72">
        <w:rPr>
          <w:rFonts w:ascii="Arial" w:hAnsi="Arial" w:cs="Arial"/>
          <w:lang w:val="en-US"/>
        </w:rPr>
        <w:t xml:space="preserve"> </w:t>
      </w:r>
      <w:r w:rsidR="002F1216" w:rsidRPr="00E34E72">
        <w:rPr>
          <w:rFonts w:ascii="Arial" w:hAnsi="Arial" w:cs="Arial"/>
          <w:lang w:val="en-US"/>
        </w:rPr>
        <w:t>on the retention of health workers</w:t>
      </w:r>
      <w:r w:rsidR="00195B78" w:rsidRPr="00E34E72">
        <w:rPr>
          <w:rFonts w:ascii="Arial" w:hAnsi="Arial" w:cs="Arial"/>
          <w:lang w:val="en-US"/>
        </w:rPr>
        <w:t>;</w:t>
      </w:r>
    </w:p>
    <w:p w14:paraId="65EDFABE"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4</w:t>
      </w:r>
      <w:r w:rsidR="000475BA" w:rsidRPr="00E34E72">
        <w:rPr>
          <w:rFonts w:ascii="Arial" w:hAnsi="Arial" w:cs="Arial"/>
          <w:lang w:val="en-US"/>
        </w:rPr>
        <w:t>.</w:t>
      </w:r>
      <w:r w:rsidRPr="00E34E72">
        <w:rPr>
          <w:rFonts w:ascii="Arial" w:hAnsi="Arial" w:cs="Arial"/>
          <w:lang w:val="en-US"/>
        </w:rPr>
        <w:t>b</w:t>
      </w:r>
      <w:r w:rsidR="002F1216" w:rsidRPr="00E34E72">
        <w:rPr>
          <w:rFonts w:ascii="Arial" w:hAnsi="Arial" w:cs="Arial"/>
          <w:lang w:val="en-US"/>
        </w:rPr>
        <w:t xml:space="preserve"> on international scholarships</w:t>
      </w:r>
      <w:r w:rsidR="00195B78" w:rsidRPr="00E34E72">
        <w:rPr>
          <w:rFonts w:ascii="Arial" w:hAnsi="Arial" w:cs="Arial"/>
          <w:lang w:val="en-US"/>
        </w:rPr>
        <w:t>;</w:t>
      </w:r>
    </w:p>
    <w:p w14:paraId="75B93CC3" w14:textId="77777777" w:rsidR="002F1216" w:rsidRPr="00E34E72" w:rsidRDefault="002F1216"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8.8</w:t>
      </w:r>
      <w:r w:rsidR="004F4D87" w:rsidRPr="00E34E72">
        <w:rPr>
          <w:rFonts w:ascii="Arial" w:hAnsi="Arial" w:cs="Arial"/>
          <w:lang w:val="en-US"/>
        </w:rPr>
        <w:t xml:space="preserve"> </w:t>
      </w:r>
      <w:r w:rsidRPr="00E34E72">
        <w:rPr>
          <w:rFonts w:ascii="Arial" w:hAnsi="Arial" w:cs="Arial"/>
          <w:lang w:val="en-US"/>
        </w:rPr>
        <w:t xml:space="preserve">on </w:t>
      </w:r>
      <w:r w:rsidR="00195B78" w:rsidRPr="00E34E72">
        <w:rPr>
          <w:rFonts w:ascii="Arial" w:hAnsi="Arial" w:cs="Arial"/>
          <w:lang w:val="en-US"/>
        </w:rPr>
        <w:t>labor</w:t>
      </w:r>
      <w:r w:rsidRPr="00E34E72">
        <w:rPr>
          <w:rFonts w:ascii="Arial" w:hAnsi="Arial" w:cs="Arial"/>
          <w:lang w:val="en-US"/>
        </w:rPr>
        <w:t xml:space="preserve"> rights for migrant workers</w:t>
      </w:r>
      <w:r w:rsidR="00195B78" w:rsidRPr="00E34E72">
        <w:rPr>
          <w:rFonts w:ascii="Arial" w:hAnsi="Arial" w:cs="Arial"/>
          <w:lang w:val="en-US"/>
        </w:rPr>
        <w:t>;</w:t>
      </w:r>
    </w:p>
    <w:p w14:paraId="5E5CFAB3"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10.7</w:t>
      </w:r>
      <w:r w:rsidR="002F1216" w:rsidRPr="00E34E72">
        <w:rPr>
          <w:rFonts w:ascii="Arial" w:hAnsi="Arial" w:cs="Arial"/>
          <w:lang w:val="en-US"/>
        </w:rPr>
        <w:t xml:space="preserve"> on </w:t>
      </w:r>
      <w:r w:rsidR="00361764" w:rsidRPr="00E34E72">
        <w:rPr>
          <w:rFonts w:ascii="Arial" w:hAnsi="Arial" w:cs="Arial"/>
          <w:lang w:val="en-US"/>
        </w:rPr>
        <w:t>o</w:t>
      </w:r>
      <w:r w:rsidR="002F1216" w:rsidRPr="00E34E72">
        <w:rPr>
          <w:rFonts w:ascii="Arial" w:hAnsi="Arial" w:cs="Arial"/>
          <w:lang w:val="en-US"/>
        </w:rPr>
        <w:t>r</w:t>
      </w:r>
      <w:r w:rsidR="00361764" w:rsidRPr="00E34E72">
        <w:rPr>
          <w:rFonts w:ascii="Arial" w:hAnsi="Arial" w:cs="Arial"/>
          <w:lang w:val="en-US"/>
        </w:rPr>
        <w:t>derly, safe,</w:t>
      </w:r>
      <w:r w:rsidR="005C35C4" w:rsidRPr="00E34E72">
        <w:rPr>
          <w:rFonts w:ascii="Arial" w:hAnsi="Arial" w:cs="Arial"/>
          <w:lang w:val="en-US"/>
        </w:rPr>
        <w:t xml:space="preserve"> regular and</w:t>
      </w:r>
      <w:r w:rsidR="002F1216" w:rsidRPr="00E34E72">
        <w:rPr>
          <w:rFonts w:ascii="Arial" w:hAnsi="Arial" w:cs="Arial"/>
          <w:lang w:val="en-US"/>
        </w:rPr>
        <w:t xml:space="preserve"> responsible migration</w:t>
      </w:r>
      <w:r w:rsidR="00195B78" w:rsidRPr="00E34E72">
        <w:rPr>
          <w:rFonts w:ascii="Arial" w:hAnsi="Arial" w:cs="Arial"/>
          <w:lang w:val="en-US"/>
        </w:rPr>
        <w:t>;</w:t>
      </w:r>
    </w:p>
    <w:p w14:paraId="300A9A97"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10.c</w:t>
      </w:r>
      <w:r w:rsidR="002F1216" w:rsidRPr="00E34E72">
        <w:rPr>
          <w:rFonts w:ascii="Arial" w:hAnsi="Arial" w:cs="Arial"/>
          <w:lang w:val="en-US"/>
        </w:rPr>
        <w:t xml:space="preserve"> on the reduction of remittances costs</w:t>
      </w:r>
      <w:r w:rsidR="00195B78" w:rsidRPr="00E34E72">
        <w:rPr>
          <w:rFonts w:ascii="Arial" w:hAnsi="Arial" w:cs="Arial"/>
          <w:lang w:val="en-US"/>
        </w:rPr>
        <w:t>;</w:t>
      </w:r>
    </w:p>
    <w:p w14:paraId="21D96C79"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t>16.9</w:t>
      </w:r>
      <w:r w:rsidR="002F1216" w:rsidRPr="00E34E72">
        <w:rPr>
          <w:rFonts w:ascii="Arial" w:hAnsi="Arial" w:cs="Arial"/>
          <w:lang w:val="en-US"/>
        </w:rPr>
        <w:t xml:space="preserve"> on the creation of </w:t>
      </w:r>
      <w:r w:rsidR="00361764" w:rsidRPr="00E34E72">
        <w:rPr>
          <w:rFonts w:ascii="Arial" w:hAnsi="Arial" w:cs="Arial"/>
          <w:lang w:val="en-US"/>
        </w:rPr>
        <w:t>legal identity</w:t>
      </w:r>
      <w:r w:rsidR="005C35C4" w:rsidRPr="00E34E72">
        <w:rPr>
          <w:rFonts w:ascii="Arial" w:hAnsi="Arial" w:cs="Arial"/>
          <w:lang w:val="en-US"/>
        </w:rPr>
        <w:t xml:space="preserve"> (thus ending statelessness)</w:t>
      </w:r>
      <w:r w:rsidR="00195B78" w:rsidRPr="00E34E72">
        <w:rPr>
          <w:rFonts w:ascii="Arial" w:hAnsi="Arial" w:cs="Arial"/>
          <w:lang w:val="en-US"/>
        </w:rPr>
        <w:t>;</w:t>
      </w:r>
    </w:p>
    <w:p w14:paraId="2D231ABA" w14:textId="77777777" w:rsidR="002F1216" w:rsidRPr="00E34E72" w:rsidRDefault="00861425" w:rsidP="006A6B4B">
      <w:pPr>
        <w:pStyle w:val="ListParagraph"/>
        <w:numPr>
          <w:ilvl w:val="0"/>
          <w:numId w:val="32"/>
        </w:numPr>
        <w:spacing w:line="360" w:lineRule="auto"/>
        <w:jc w:val="both"/>
        <w:rPr>
          <w:rFonts w:ascii="Arial" w:hAnsi="Arial" w:cs="Arial"/>
          <w:u w:val="single"/>
          <w:lang w:val="en-US"/>
        </w:rPr>
      </w:pPr>
      <w:r w:rsidRPr="00E34E72">
        <w:rPr>
          <w:rFonts w:ascii="Arial" w:hAnsi="Arial" w:cs="Arial"/>
          <w:lang w:val="en-US"/>
        </w:rPr>
        <w:lastRenderedPageBreak/>
        <w:t>17.18</w:t>
      </w:r>
      <w:r w:rsidR="002F1216" w:rsidRPr="00E34E72">
        <w:rPr>
          <w:rFonts w:ascii="Arial" w:hAnsi="Arial" w:cs="Arial"/>
          <w:lang w:val="en-US"/>
        </w:rPr>
        <w:t xml:space="preserve"> on migration-disaggregated </w:t>
      </w:r>
      <w:r w:rsidR="00361764" w:rsidRPr="00E34E72">
        <w:rPr>
          <w:rFonts w:ascii="Arial" w:hAnsi="Arial" w:cs="Arial"/>
          <w:lang w:val="en-US"/>
        </w:rPr>
        <w:t>data</w:t>
      </w:r>
      <w:r w:rsidR="002F1216" w:rsidRPr="00E34E72">
        <w:rPr>
          <w:rFonts w:ascii="Arial" w:hAnsi="Arial" w:cs="Arial"/>
          <w:lang w:val="en-US"/>
        </w:rPr>
        <w:t>-collection</w:t>
      </w:r>
      <w:r w:rsidR="00195B78" w:rsidRPr="00E34E72">
        <w:rPr>
          <w:rFonts w:ascii="Arial" w:hAnsi="Arial" w:cs="Arial"/>
          <w:lang w:val="en-US"/>
        </w:rPr>
        <w:t>;</w:t>
      </w:r>
    </w:p>
    <w:p w14:paraId="36C510F6" w14:textId="77777777" w:rsidR="002F1216" w:rsidRPr="00E34E72" w:rsidRDefault="002F1216" w:rsidP="006A6B4B">
      <w:pPr>
        <w:pStyle w:val="ListParagraph"/>
        <w:numPr>
          <w:ilvl w:val="0"/>
          <w:numId w:val="32"/>
        </w:numPr>
        <w:spacing w:line="360" w:lineRule="auto"/>
        <w:jc w:val="both"/>
        <w:rPr>
          <w:rFonts w:ascii="Arial" w:hAnsi="Arial" w:cs="Arial"/>
          <w:b/>
          <w:u w:val="single"/>
          <w:lang w:val="en-US"/>
        </w:rPr>
      </w:pPr>
      <w:r w:rsidRPr="00E34E72">
        <w:rPr>
          <w:rFonts w:ascii="Arial" w:hAnsi="Arial" w:cs="Arial"/>
          <w:lang w:val="en-US"/>
        </w:rPr>
        <w:t xml:space="preserve">as well as </w:t>
      </w:r>
      <w:r w:rsidR="00861425" w:rsidRPr="00E34E72">
        <w:rPr>
          <w:rFonts w:ascii="Arial" w:hAnsi="Arial" w:cs="Arial"/>
          <w:lang w:val="en-US"/>
        </w:rPr>
        <w:t xml:space="preserve">5.2, 8.7 and 16.2 </w:t>
      </w:r>
      <w:r w:rsidR="000475BA" w:rsidRPr="00E34E72">
        <w:rPr>
          <w:rFonts w:ascii="Arial" w:hAnsi="Arial" w:cs="Arial"/>
          <w:lang w:val="en-US"/>
        </w:rPr>
        <w:t xml:space="preserve">which all three address </w:t>
      </w:r>
      <w:r w:rsidR="005C35C4" w:rsidRPr="00E34E72">
        <w:rPr>
          <w:rFonts w:ascii="Arial" w:hAnsi="Arial" w:cs="Arial"/>
          <w:lang w:val="en-US"/>
        </w:rPr>
        <w:t xml:space="preserve">different </w:t>
      </w:r>
      <w:r w:rsidR="00210995" w:rsidRPr="00E34E72">
        <w:rPr>
          <w:rFonts w:ascii="Arial" w:hAnsi="Arial" w:cs="Arial"/>
          <w:lang w:val="en-US"/>
        </w:rPr>
        <w:t xml:space="preserve">aspects of </w:t>
      </w:r>
      <w:r w:rsidRPr="00E34E72">
        <w:rPr>
          <w:rFonts w:ascii="Arial" w:hAnsi="Arial" w:cs="Arial"/>
          <w:lang w:val="en-US"/>
        </w:rPr>
        <w:t>human trafficking</w:t>
      </w:r>
      <w:r w:rsidR="00195B78" w:rsidRPr="00E34E72">
        <w:rPr>
          <w:rFonts w:ascii="Arial" w:hAnsi="Arial" w:cs="Arial"/>
          <w:lang w:val="en-US"/>
        </w:rPr>
        <w:t>.</w:t>
      </w:r>
    </w:p>
    <w:p w14:paraId="48EF23E9" w14:textId="211E6077" w:rsidR="00172F05" w:rsidRPr="00610163" w:rsidRDefault="00861425" w:rsidP="006A6B4B">
      <w:pPr>
        <w:spacing w:line="360" w:lineRule="auto"/>
        <w:jc w:val="both"/>
        <w:rPr>
          <w:rFonts w:ascii="Arial" w:hAnsi="Arial" w:cs="Arial"/>
          <w:lang w:val="en-US"/>
        </w:rPr>
      </w:pPr>
      <w:r w:rsidRPr="00E34E72">
        <w:rPr>
          <w:rFonts w:ascii="Arial" w:hAnsi="Arial" w:cs="Arial"/>
          <w:lang w:val="en-US"/>
        </w:rPr>
        <w:t xml:space="preserve">Yet, numerous </w:t>
      </w:r>
      <w:r w:rsidR="00210995" w:rsidRPr="00E34E72">
        <w:rPr>
          <w:rFonts w:ascii="Arial" w:hAnsi="Arial" w:cs="Arial"/>
          <w:lang w:val="en-US"/>
        </w:rPr>
        <w:t xml:space="preserve">other </w:t>
      </w:r>
      <w:r w:rsidRPr="00E34E72">
        <w:rPr>
          <w:rFonts w:ascii="Arial" w:hAnsi="Arial" w:cs="Arial"/>
          <w:lang w:val="en-US"/>
        </w:rPr>
        <w:t xml:space="preserve">targets are characterized by strong </w:t>
      </w:r>
      <w:r w:rsidRPr="00E34E72">
        <w:rPr>
          <w:rFonts w:ascii="Arial" w:hAnsi="Arial" w:cs="Arial"/>
          <w:b/>
          <w:lang w:val="en-US"/>
        </w:rPr>
        <w:t xml:space="preserve">implicit </w:t>
      </w:r>
      <w:r w:rsidRPr="00E34E72">
        <w:rPr>
          <w:rFonts w:ascii="Arial" w:hAnsi="Arial" w:cs="Arial"/>
          <w:lang w:val="en-US"/>
        </w:rPr>
        <w:t xml:space="preserve">reference to migration. </w:t>
      </w:r>
      <w:r w:rsidR="005C35C4" w:rsidRPr="00E34E72">
        <w:rPr>
          <w:rFonts w:ascii="Arial" w:hAnsi="Arial" w:cs="Arial"/>
          <w:lang w:val="en-US"/>
        </w:rPr>
        <w:t>This</w:t>
      </w:r>
      <w:r w:rsidRPr="00E34E72">
        <w:rPr>
          <w:rFonts w:ascii="Arial" w:hAnsi="Arial" w:cs="Arial"/>
          <w:lang w:val="en-US"/>
        </w:rPr>
        <w:t xml:space="preserve"> report </w:t>
      </w:r>
      <w:r w:rsidR="002F1216" w:rsidRPr="00E34E72">
        <w:rPr>
          <w:rFonts w:ascii="Arial" w:hAnsi="Arial" w:cs="Arial"/>
          <w:lang w:val="en-US"/>
        </w:rPr>
        <w:t>classifies</w:t>
      </w:r>
      <w:r w:rsidRPr="00E34E72">
        <w:rPr>
          <w:rFonts w:ascii="Arial" w:hAnsi="Arial" w:cs="Arial"/>
          <w:lang w:val="en-US"/>
        </w:rPr>
        <w:t xml:space="preserve"> the implicit </w:t>
      </w:r>
      <w:r w:rsidR="006C5647" w:rsidRPr="00E34E72">
        <w:rPr>
          <w:rFonts w:ascii="Arial" w:hAnsi="Arial" w:cs="Arial"/>
          <w:lang w:val="en-US"/>
        </w:rPr>
        <w:t>and explicit nature of the targets</w:t>
      </w:r>
      <w:r w:rsidRPr="00E34E72">
        <w:rPr>
          <w:rFonts w:ascii="Arial" w:hAnsi="Arial" w:cs="Arial"/>
          <w:lang w:val="en-US"/>
        </w:rPr>
        <w:t xml:space="preserve"> </w:t>
      </w:r>
      <w:r w:rsidRPr="00E34E72">
        <w:rPr>
          <w:rFonts w:ascii="Arial" w:hAnsi="Arial" w:cs="Arial"/>
          <w:b/>
          <w:lang w:val="en-US"/>
        </w:rPr>
        <w:t>into the following broadly defined categories</w:t>
      </w:r>
      <w:r w:rsidRPr="00E34E72">
        <w:rPr>
          <w:rFonts w:ascii="Arial" w:hAnsi="Arial" w:cs="Arial"/>
          <w:lang w:val="en-US"/>
        </w:rPr>
        <w:t>, bearing in mind that some sub-goals can be attributed to several of these categories</w:t>
      </w:r>
      <w:r w:rsidR="00B522D3" w:rsidRPr="00E34E72">
        <w:rPr>
          <w:rFonts w:ascii="Arial" w:hAnsi="Arial" w:cs="Arial"/>
          <w:lang w:val="en-US"/>
        </w:rPr>
        <w:t xml:space="preserve">, which again is proof of the interrelatedness of the </w:t>
      </w:r>
      <w:r w:rsidR="002F1216" w:rsidRPr="00E34E72">
        <w:rPr>
          <w:rFonts w:ascii="Arial" w:hAnsi="Arial" w:cs="Arial"/>
          <w:lang w:val="en-US"/>
        </w:rPr>
        <w:t>2030 A</w:t>
      </w:r>
      <w:r w:rsidR="00B522D3" w:rsidRPr="00E34E72">
        <w:rPr>
          <w:rFonts w:ascii="Arial" w:hAnsi="Arial" w:cs="Arial"/>
          <w:lang w:val="en-US"/>
        </w:rPr>
        <w:t>genda</w:t>
      </w:r>
      <w:r w:rsidRPr="00E34E72">
        <w:rPr>
          <w:rFonts w:ascii="Arial" w:hAnsi="Arial" w:cs="Arial"/>
          <w:lang w:val="en-US"/>
        </w:rPr>
        <w:t>:</w:t>
      </w:r>
    </w:p>
    <w:p w14:paraId="19418514" w14:textId="77777777" w:rsidR="00861425" w:rsidRPr="00E34E72" w:rsidRDefault="00861425" w:rsidP="006A6B4B">
      <w:pPr>
        <w:pStyle w:val="ListParagraph"/>
        <w:numPr>
          <w:ilvl w:val="0"/>
          <w:numId w:val="3"/>
        </w:numPr>
        <w:spacing w:line="360" w:lineRule="auto"/>
        <w:jc w:val="both"/>
        <w:rPr>
          <w:rFonts w:ascii="Arial" w:hAnsi="Arial" w:cs="Arial"/>
          <w:u w:val="single"/>
          <w:lang w:val="en-US"/>
        </w:rPr>
      </w:pPr>
      <w:r w:rsidRPr="00E34E72">
        <w:rPr>
          <w:rFonts w:ascii="Arial" w:hAnsi="Arial" w:cs="Arial"/>
          <w:b/>
          <w:lang w:val="en-US"/>
        </w:rPr>
        <w:t>Explicit migration-related</w:t>
      </w:r>
      <w:r w:rsidRPr="00E34E72">
        <w:rPr>
          <w:rFonts w:ascii="Arial" w:hAnsi="Arial" w:cs="Arial"/>
          <w:lang w:val="en-US"/>
        </w:rPr>
        <w:t xml:space="preserve"> target</w:t>
      </w:r>
      <w:r w:rsidR="002F1216" w:rsidRPr="00E34E72">
        <w:rPr>
          <w:rFonts w:ascii="Arial" w:hAnsi="Arial" w:cs="Arial"/>
          <w:lang w:val="en-US"/>
        </w:rPr>
        <w:t>s</w:t>
      </w:r>
      <w:r w:rsidR="00195B78" w:rsidRPr="00E34E72">
        <w:rPr>
          <w:rFonts w:ascii="Arial" w:hAnsi="Arial" w:cs="Arial"/>
          <w:lang w:val="en-US"/>
        </w:rPr>
        <w:t>;</w:t>
      </w:r>
    </w:p>
    <w:p w14:paraId="019B052B" w14:textId="77777777" w:rsidR="0010073E" w:rsidRPr="00E34E72" w:rsidRDefault="00861425" w:rsidP="006A6B4B">
      <w:pPr>
        <w:numPr>
          <w:ilvl w:val="0"/>
          <w:numId w:val="3"/>
        </w:numPr>
        <w:spacing w:line="360" w:lineRule="auto"/>
        <w:jc w:val="both"/>
        <w:rPr>
          <w:rFonts w:ascii="Arial" w:hAnsi="Arial" w:cs="Arial"/>
          <w:lang w:val="en-US"/>
        </w:rPr>
      </w:pPr>
      <w:r w:rsidRPr="00E34E72">
        <w:rPr>
          <w:rFonts w:ascii="Arial" w:hAnsi="Arial" w:cs="Arial"/>
          <w:lang w:val="en-US"/>
        </w:rPr>
        <w:t>Target</w:t>
      </w:r>
      <w:r w:rsidR="002F1216" w:rsidRPr="00E34E72">
        <w:rPr>
          <w:rFonts w:ascii="Arial" w:hAnsi="Arial" w:cs="Arial"/>
          <w:lang w:val="en-US"/>
        </w:rPr>
        <w:t>s that</w:t>
      </w:r>
      <w:r w:rsidRPr="00E34E72">
        <w:rPr>
          <w:rFonts w:ascii="Arial" w:hAnsi="Arial" w:cs="Arial"/>
          <w:lang w:val="en-US"/>
        </w:rPr>
        <w:t xml:space="preserve"> can</w:t>
      </w:r>
      <w:r w:rsidR="00210995" w:rsidRPr="00E34E72">
        <w:rPr>
          <w:rFonts w:ascii="Arial" w:hAnsi="Arial" w:cs="Arial"/>
          <w:lang w:val="en-US"/>
        </w:rPr>
        <w:t xml:space="preserve"> and </w:t>
      </w:r>
      <w:r w:rsidRPr="00E34E72">
        <w:rPr>
          <w:rFonts w:ascii="Arial" w:hAnsi="Arial" w:cs="Arial"/>
          <w:lang w:val="en-US"/>
        </w:rPr>
        <w:t>should address the</w:t>
      </w:r>
      <w:r w:rsidRPr="00E34E72">
        <w:rPr>
          <w:rFonts w:ascii="Arial" w:hAnsi="Arial" w:cs="Arial"/>
          <w:b/>
          <w:lang w:val="en-US"/>
        </w:rPr>
        <w:t xml:space="preserve"> </w:t>
      </w:r>
      <w:r w:rsidRPr="00E34E72">
        <w:rPr>
          <w:rFonts w:ascii="Arial" w:hAnsi="Arial" w:cs="Arial"/>
          <w:lang w:val="en-US"/>
        </w:rPr>
        <w:t>specific</w:t>
      </w:r>
      <w:r w:rsidRPr="00E34E72">
        <w:rPr>
          <w:rFonts w:ascii="Arial" w:hAnsi="Arial" w:cs="Arial"/>
          <w:b/>
          <w:lang w:val="en-US"/>
        </w:rPr>
        <w:t xml:space="preserve"> vulnerability</w:t>
      </w:r>
      <w:r w:rsidR="00DD1F06" w:rsidRPr="00E34E72">
        <w:rPr>
          <w:rFonts w:ascii="Arial" w:hAnsi="Arial" w:cs="Arial"/>
          <w:b/>
          <w:lang w:val="en-US"/>
        </w:rPr>
        <w:t xml:space="preserve"> </w:t>
      </w:r>
      <w:r w:rsidR="00931FE1" w:rsidRPr="00E34E72">
        <w:rPr>
          <w:rFonts w:ascii="Arial" w:hAnsi="Arial" w:cs="Arial"/>
          <w:b/>
          <w:lang w:val="en-US"/>
        </w:rPr>
        <w:t xml:space="preserve">and protection gaps </w:t>
      </w:r>
      <w:r w:rsidR="00DD1F06" w:rsidRPr="00E34E72">
        <w:rPr>
          <w:rFonts w:ascii="Arial" w:hAnsi="Arial" w:cs="Arial"/>
          <w:b/>
          <w:lang w:val="en-US"/>
        </w:rPr>
        <w:t>specific to</w:t>
      </w:r>
      <w:r w:rsidRPr="00E34E72">
        <w:rPr>
          <w:rFonts w:ascii="Arial" w:hAnsi="Arial" w:cs="Arial"/>
          <w:lang w:val="en-US"/>
        </w:rPr>
        <w:t xml:space="preserve"> </w:t>
      </w:r>
      <w:r w:rsidR="00931FE1" w:rsidRPr="00E34E72">
        <w:rPr>
          <w:rFonts w:ascii="Arial" w:hAnsi="Arial" w:cs="Arial"/>
          <w:lang w:val="en-US"/>
        </w:rPr>
        <w:t>all groups of migrants</w:t>
      </w:r>
      <w:r w:rsidR="00931FE1" w:rsidRPr="00E34E72">
        <w:rPr>
          <w:rFonts w:ascii="Arial" w:hAnsi="Arial" w:cs="Arial"/>
          <w:b/>
          <w:lang w:val="en-US"/>
        </w:rPr>
        <w:t xml:space="preserve"> </w:t>
      </w:r>
      <w:r w:rsidR="00557785" w:rsidRPr="00E34E72">
        <w:rPr>
          <w:rFonts w:ascii="Arial" w:hAnsi="Arial" w:cs="Arial"/>
          <w:lang w:val="en-US"/>
        </w:rPr>
        <w:t xml:space="preserve">and thus offer </w:t>
      </w:r>
      <w:r w:rsidR="00592D0A" w:rsidRPr="00E34E72">
        <w:rPr>
          <w:rFonts w:ascii="Arial" w:hAnsi="Arial" w:cs="Arial"/>
          <w:b/>
          <w:lang w:val="en-US"/>
        </w:rPr>
        <w:t>corresponding</w:t>
      </w:r>
      <w:r w:rsidR="00964900" w:rsidRPr="00E34E72">
        <w:rPr>
          <w:rFonts w:ascii="Arial" w:hAnsi="Arial" w:cs="Arial"/>
          <w:lang w:val="en-US"/>
        </w:rPr>
        <w:t xml:space="preserve"> </w:t>
      </w:r>
      <w:r w:rsidR="004C233B" w:rsidRPr="00E34E72">
        <w:rPr>
          <w:rFonts w:ascii="Arial" w:hAnsi="Arial" w:cs="Arial"/>
          <w:lang w:val="en-US"/>
        </w:rPr>
        <w:t xml:space="preserve">mechanisms to address </w:t>
      </w:r>
      <w:r w:rsidR="00592D0A" w:rsidRPr="00E34E72">
        <w:rPr>
          <w:rFonts w:ascii="Arial" w:hAnsi="Arial" w:cs="Arial"/>
          <w:lang w:val="en-US"/>
        </w:rPr>
        <w:t>these</w:t>
      </w:r>
      <w:r w:rsidR="00195B78" w:rsidRPr="00E34E72">
        <w:rPr>
          <w:rFonts w:ascii="Arial" w:hAnsi="Arial" w:cs="Arial"/>
          <w:lang w:val="en-US"/>
        </w:rPr>
        <w:t>;</w:t>
      </w:r>
      <w:r w:rsidR="00B80B8F" w:rsidRPr="00E34E72">
        <w:rPr>
          <w:rFonts w:ascii="Arial" w:hAnsi="Arial" w:cs="Arial"/>
          <w:lang w:val="en-US"/>
        </w:rPr>
        <w:t xml:space="preserve"> </w:t>
      </w:r>
    </w:p>
    <w:p w14:paraId="3321FF3D" w14:textId="77777777" w:rsidR="0010073E" w:rsidRPr="00E34E72" w:rsidRDefault="0010073E" w:rsidP="006A6B4B">
      <w:pPr>
        <w:numPr>
          <w:ilvl w:val="0"/>
          <w:numId w:val="3"/>
        </w:numPr>
        <w:spacing w:line="360" w:lineRule="auto"/>
        <w:jc w:val="both"/>
        <w:rPr>
          <w:rFonts w:ascii="Arial" w:hAnsi="Arial" w:cs="Arial"/>
          <w:lang w:val="en-US"/>
        </w:rPr>
      </w:pPr>
      <w:r w:rsidRPr="00E34E72">
        <w:rPr>
          <w:rFonts w:ascii="Arial" w:hAnsi="Arial" w:cs="Arial"/>
          <w:lang w:val="en-US"/>
        </w:rPr>
        <w:t>Targets that could benefit from the</w:t>
      </w:r>
      <w:r w:rsidRPr="00E34E72">
        <w:rPr>
          <w:rFonts w:ascii="Arial" w:hAnsi="Arial" w:cs="Arial"/>
          <w:b/>
          <w:lang w:val="en-US"/>
        </w:rPr>
        <w:t xml:space="preserve"> potential of migration and </w:t>
      </w:r>
      <w:r w:rsidR="00861425" w:rsidRPr="00E34E72">
        <w:rPr>
          <w:rFonts w:ascii="Arial" w:hAnsi="Arial" w:cs="Arial"/>
          <w:b/>
          <w:lang w:val="en-US"/>
        </w:rPr>
        <w:t>migrants</w:t>
      </w:r>
      <w:r w:rsidR="00195B78" w:rsidRPr="00610163">
        <w:rPr>
          <w:rFonts w:ascii="Arial" w:hAnsi="Arial" w:cs="Arial"/>
          <w:lang w:val="en-US"/>
        </w:rPr>
        <w:t>;</w:t>
      </w:r>
    </w:p>
    <w:p w14:paraId="3A499EFA" w14:textId="77777777" w:rsidR="006C5647" w:rsidRPr="00E34E72" w:rsidRDefault="00861425" w:rsidP="006A6B4B">
      <w:pPr>
        <w:numPr>
          <w:ilvl w:val="0"/>
          <w:numId w:val="3"/>
        </w:numPr>
        <w:spacing w:line="360" w:lineRule="auto"/>
        <w:jc w:val="both"/>
        <w:rPr>
          <w:rFonts w:ascii="Arial" w:hAnsi="Arial" w:cs="Arial"/>
          <w:lang w:val="en-US"/>
        </w:rPr>
      </w:pPr>
      <w:r w:rsidRPr="00E34E72">
        <w:rPr>
          <w:rFonts w:ascii="Arial" w:hAnsi="Arial" w:cs="Arial"/>
          <w:lang w:val="en-US"/>
        </w:rPr>
        <w:t>Target</w:t>
      </w:r>
      <w:r w:rsidR="0010073E" w:rsidRPr="00E34E72">
        <w:rPr>
          <w:rFonts w:ascii="Arial" w:hAnsi="Arial" w:cs="Arial"/>
          <w:lang w:val="en-US"/>
        </w:rPr>
        <w:t xml:space="preserve">s that </w:t>
      </w:r>
      <w:r w:rsidR="004C233B" w:rsidRPr="00E34E72">
        <w:rPr>
          <w:rFonts w:ascii="Arial" w:hAnsi="Arial" w:cs="Arial"/>
          <w:lang w:val="en-US"/>
        </w:rPr>
        <w:t xml:space="preserve">address drivers of migration including </w:t>
      </w:r>
      <w:r w:rsidR="008F674A" w:rsidRPr="00E34E72">
        <w:rPr>
          <w:rFonts w:ascii="Arial" w:hAnsi="Arial" w:cs="Arial"/>
          <w:b/>
          <w:lang w:val="en-US"/>
        </w:rPr>
        <w:t>employment</w:t>
      </w:r>
      <w:r w:rsidR="008F674A" w:rsidRPr="00E34E72">
        <w:rPr>
          <w:rFonts w:ascii="Arial" w:hAnsi="Arial" w:cs="Arial"/>
          <w:lang w:val="en-US"/>
        </w:rPr>
        <w:t xml:space="preserve"> </w:t>
      </w:r>
      <w:r w:rsidR="0010073E" w:rsidRPr="00E34E72">
        <w:rPr>
          <w:rFonts w:ascii="Arial" w:hAnsi="Arial" w:cs="Arial"/>
          <w:lang w:val="en-US"/>
        </w:rPr>
        <w:t xml:space="preserve">or </w:t>
      </w:r>
      <w:r w:rsidR="0010073E" w:rsidRPr="00E34E72">
        <w:rPr>
          <w:rFonts w:ascii="Arial" w:hAnsi="Arial" w:cs="Arial"/>
          <w:b/>
          <w:lang w:val="en-US"/>
        </w:rPr>
        <w:t xml:space="preserve">employment </w:t>
      </w:r>
      <w:r w:rsidR="008F674A" w:rsidRPr="00E34E72">
        <w:rPr>
          <w:rFonts w:ascii="Arial" w:hAnsi="Arial" w:cs="Arial"/>
          <w:b/>
          <w:lang w:val="en-US"/>
        </w:rPr>
        <w:t>creation</w:t>
      </w:r>
      <w:r w:rsidR="008F674A" w:rsidRPr="00E34E72">
        <w:rPr>
          <w:rFonts w:ascii="Arial" w:hAnsi="Arial" w:cs="Arial"/>
          <w:lang w:val="en-US"/>
        </w:rPr>
        <w:t xml:space="preserve"> </w:t>
      </w:r>
      <w:r w:rsidR="0010073E" w:rsidRPr="00E34E72">
        <w:rPr>
          <w:rFonts w:ascii="Arial" w:hAnsi="Arial" w:cs="Arial"/>
          <w:lang w:val="en-US"/>
        </w:rPr>
        <w:t>and thus have</w:t>
      </w:r>
      <w:r w:rsidR="008F674A" w:rsidRPr="00E34E72">
        <w:rPr>
          <w:rFonts w:ascii="Arial" w:hAnsi="Arial" w:cs="Arial"/>
          <w:lang w:val="en-US"/>
        </w:rPr>
        <w:t xml:space="preserve"> a direct influence on </w:t>
      </w:r>
      <w:r w:rsidR="006C5647" w:rsidRPr="00E34E72">
        <w:rPr>
          <w:rFonts w:ascii="Arial" w:hAnsi="Arial" w:cs="Arial"/>
          <w:lang w:val="en-US"/>
        </w:rPr>
        <w:t xml:space="preserve">poverty alleviation and lowering of </w:t>
      </w:r>
      <w:r w:rsidR="008F674A" w:rsidRPr="00E34E72">
        <w:rPr>
          <w:rFonts w:ascii="Arial" w:hAnsi="Arial" w:cs="Arial"/>
          <w:lang w:val="en-US"/>
        </w:rPr>
        <w:t>migration pressure</w:t>
      </w:r>
      <w:r w:rsidR="00195B78" w:rsidRPr="00E34E72">
        <w:rPr>
          <w:rFonts w:ascii="Arial" w:hAnsi="Arial" w:cs="Arial"/>
          <w:lang w:val="en-US"/>
        </w:rPr>
        <w:t>.</w:t>
      </w:r>
      <w:r w:rsidRPr="00E34E72">
        <w:rPr>
          <w:rFonts w:ascii="Arial" w:hAnsi="Arial" w:cs="Arial"/>
          <w:b/>
          <w:lang w:val="en-US"/>
        </w:rPr>
        <w:t xml:space="preserve"> </w:t>
      </w:r>
    </w:p>
    <w:p w14:paraId="3564BDAB" w14:textId="77777777" w:rsidR="002C6783" w:rsidRPr="00E34E72" w:rsidRDefault="006C5647" w:rsidP="006A6B4B">
      <w:pPr>
        <w:spacing w:line="360" w:lineRule="auto"/>
        <w:rPr>
          <w:rFonts w:ascii="Arial" w:hAnsi="Arial" w:cs="Arial"/>
          <w:sz w:val="16"/>
          <w:szCs w:val="16"/>
          <w:lang w:val="en-US"/>
        </w:rPr>
      </w:pPr>
      <w:r w:rsidRPr="00E34E72">
        <w:rPr>
          <w:rFonts w:ascii="Arial" w:hAnsi="Arial" w:cs="Arial"/>
          <w:b/>
          <w:u w:val="single"/>
          <w:lang w:val="en-US"/>
        </w:rPr>
        <w:t>Table 1: Links between Migration and the 2030 Agenda</w:t>
      </w:r>
      <w:r w:rsidR="002C6783" w:rsidRPr="00E34E72">
        <w:rPr>
          <w:rFonts w:ascii="Arial" w:hAnsi="Arial" w:cs="Arial"/>
          <w:sz w:val="16"/>
          <w:szCs w:val="16"/>
          <w:lang w:val="en-US"/>
        </w:rPr>
        <w:t xml:space="preserve"> </w:t>
      </w:r>
    </w:p>
    <w:p w14:paraId="74CD0702" w14:textId="77777777" w:rsidR="00861425" w:rsidRPr="00E34E72" w:rsidRDefault="002C6783" w:rsidP="006A6B4B">
      <w:pPr>
        <w:spacing w:line="360" w:lineRule="auto"/>
        <w:rPr>
          <w:rFonts w:ascii="Arial" w:hAnsi="Arial" w:cs="Arial"/>
          <w:b/>
          <w:sz w:val="28"/>
          <w:u w:val="single"/>
          <w:lang w:val="en-US"/>
        </w:rPr>
      </w:pPr>
      <w:r w:rsidRPr="00E34E72">
        <w:rPr>
          <w:rFonts w:ascii="Arial" w:hAnsi="Arial" w:cs="Arial"/>
          <w:sz w:val="20"/>
          <w:szCs w:val="16"/>
          <w:lang w:val="en-US"/>
        </w:rPr>
        <w:t>Blue: Goals in focus of the 2017 HLPF</w:t>
      </w:r>
      <w:r w:rsidRPr="00E34E72">
        <w:rPr>
          <w:rFonts w:ascii="Arial" w:hAnsi="Arial" w:cs="Arial"/>
          <w:sz w:val="20"/>
          <w:szCs w:val="16"/>
          <w:lang w:val="en-US"/>
        </w:rPr>
        <w:br/>
        <w:t>Orange: Goals in focus of the 2018 HLPF</w:t>
      </w:r>
      <w:r w:rsidRPr="00E34E72">
        <w:rPr>
          <w:rFonts w:ascii="Arial" w:hAnsi="Arial" w:cs="Arial"/>
          <w:sz w:val="20"/>
          <w:szCs w:val="16"/>
          <w:lang w:val="en-US"/>
        </w:rPr>
        <w:br/>
        <w:t>Green: Goals in focus of the 2019 HLPF</w:t>
      </w:r>
    </w:p>
    <w:tbl>
      <w:tblPr>
        <w:tblStyle w:val="TableGrid"/>
        <w:tblW w:w="0" w:type="auto"/>
        <w:tblLook w:val="04A0" w:firstRow="1" w:lastRow="0" w:firstColumn="1" w:lastColumn="0" w:noHBand="0" w:noVBand="1"/>
      </w:tblPr>
      <w:tblGrid>
        <w:gridCol w:w="3543"/>
        <w:gridCol w:w="1134"/>
        <w:gridCol w:w="1560"/>
        <w:gridCol w:w="1156"/>
        <w:gridCol w:w="1345"/>
      </w:tblGrid>
      <w:tr w:rsidR="00D15278" w:rsidRPr="00E34E72" w14:paraId="26C2803B" w14:textId="77777777" w:rsidTr="006C5647">
        <w:trPr>
          <w:trHeight w:val="254"/>
        </w:trPr>
        <w:tc>
          <w:tcPr>
            <w:tcW w:w="3543" w:type="dxa"/>
          </w:tcPr>
          <w:p w14:paraId="7892D946" w14:textId="77777777" w:rsidR="00D15278" w:rsidRPr="00E34E72" w:rsidRDefault="00D15278" w:rsidP="001D3D28">
            <w:pPr>
              <w:pStyle w:val="ListParagraph"/>
              <w:spacing w:line="360" w:lineRule="auto"/>
              <w:ind w:left="0"/>
              <w:jc w:val="both"/>
              <w:rPr>
                <w:rStyle w:val="PageNumber"/>
                <w:rFonts w:ascii="Arial" w:hAnsi="Arial" w:cs="Arial"/>
                <w:sz w:val="16"/>
                <w:szCs w:val="16"/>
                <w:lang w:val="en-US"/>
              </w:rPr>
            </w:pPr>
          </w:p>
        </w:tc>
        <w:tc>
          <w:tcPr>
            <w:tcW w:w="1134" w:type="dxa"/>
          </w:tcPr>
          <w:p w14:paraId="34A654E2" w14:textId="77777777" w:rsidR="00D15278" w:rsidRPr="00E34E72" w:rsidRDefault="00D15278" w:rsidP="001D3D28">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EXPLICIT</w:t>
            </w:r>
          </w:p>
        </w:tc>
        <w:tc>
          <w:tcPr>
            <w:tcW w:w="1560" w:type="dxa"/>
          </w:tcPr>
          <w:p w14:paraId="6C131EB7" w14:textId="77777777" w:rsidR="00D15278" w:rsidRPr="00E34E72" w:rsidRDefault="00D15278" w:rsidP="00557785">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 xml:space="preserve">VULNERABILITY / </w:t>
            </w:r>
            <w:r w:rsidR="00557785" w:rsidRPr="00E34E72">
              <w:rPr>
                <w:rStyle w:val="PageNumber"/>
                <w:rFonts w:ascii="Arial" w:hAnsi="Arial" w:cs="Arial"/>
                <w:b/>
                <w:sz w:val="16"/>
                <w:szCs w:val="16"/>
                <w:lang w:val="en-US"/>
              </w:rPr>
              <w:t>PROTECTION</w:t>
            </w:r>
          </w:p>
        </w:tc>
        <w:tc>
          <w:tcPr>
            <w:tcW w:w="1156" w:type="dxa"/>
          </w:tcPr>
          <w:p w14:paraId="348E50A9" w14:textId="77777777" w:rsidR="00D15278" w:rsidRPr="00E34E72" w:rsidRDefault="00D15278" w:rsidP="001D3D28">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POTENTIAL</w:t>
            </w:r>
          </w:p>
        </w:tc>
        <w:tc>
          <w:tcPr>
            <w:tcW w:w="1161" w:type="dxa"/>
          </w:tcPr>
          <w:p w14:paraId="52B938BD" w14:textId="77777777" w:rsidR="00D15278" w:rsidRPr="00E34E72" w:rsidRDefault="00D15278" w:rsidP="001D3D28">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EMPLOYMENT CREATION</w:t>
            </w:r>
          </w:p>
        </w:tc>
      </w:tr>
      <w:tr w:rsidR="00D15278" w:rsidRPr="00E34E72" w14:paraId="6F5B2FF0" w14:textId="77777777" w:rsidTr="006A6B4B">
        <w:trPr>
          <w:trHeight w:val="254"/>
        </w:trPr>
        <w:tc>
          <w:tcPr>
            <w:tcW w:w="3543" w:type="dxa"/>
            <w:shd w:val="clear" w:color="auto" w:fill="00B0F0"/>
            <w:vAlign w:val="center"/>
          </w:tcPr>
          <w:p w14:paraId="0EBE1B8C"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No poverty</w:t>
            </w:r>
          </w:p>
        </w:tc>
        <w:tc>
          <w:tcPr>
            <w:tcW w:w="1134" w:type="dxa"/>
            <w:shd w:val="clear" w:color="auto" w:fill="00B0F0"/>
            <w:vAlign w:val="bottom"/>
          </w:tcPr>
          <w:p w14:paraId="2E33819C"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00B0F0"/>
            <w:vAlign w:val="bottom"/>
          </w:tcPr>
          <w:p w14:paraId="08FFF68C"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00B0F0"/>
            <w:vAlign w:val="bottom"/>
          </w:tcPr>
          <w:p w14:paraId="5EA2072A" w14:textId="77777777" w:rsidR="00D15278" w:rsidRPr="00E34E72" w:rsidRDefault="00F00B0C" w:rsidP="006A6B4B">
            <w:pPr>
              <w:pStyle w:val="ListParagraph"/>
              <w:spacing w:line="360" w:lineRule="auto"/>
              <w:ind w:left="0"/>
              <w:jc w:val="center"/>
              <w:rPr>
                <w:rStyle w:val="PageNumber"/>
                <w:rFonts w:ascii="Arial" w:hAnsi="Arial" w:cs="Arial"/>
                <w:b/>
                <w:sz w:val="16"/>
                <w:szCs w:val="16"/>
                <w:lang w:val="en-US"/>
              </w:rPr>
            </w:pPr>
            <w:r>
              <w:rPr>
                <w:rStyle w:val="PageNumber"/>
                <w:rFonts w:ascii="Arial" w:hAnsi="Arial" w:cs="Arial"/>
                <w:b/>
                <w:sz w:val="16"/>
                <w:szCs w:val="16"/>
                <w:lang w:val="en-US"/>
              </w:rPr>
              <w:t>X</w:t>
            </w:r>
          </w:p>
        </w:tc>
        <w:tc>
          <w:tcPr>
            <w:tcW w:w="1161" w:type="dxa"/>
            <w:shd w:val="clear" w:color="auto" w:fill="00B0F0"/>
            <w:vAlign w:val="bottom"/>
          </w:tcPr>
          <w:p w14:paraId="08F9B9D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55D9FDD4" w14:textId="77777777" w:rsidTr="004C233B">
        <w:trPr>
          <w:trHeight w:val="222"/>
        </w:trPr>
        <w:tc>
          <w:tcPr>
            <w:tcW w:w="3543" w:type="dxa"/>
            <w:shd w:val="clear" w:color="auto" w:fill="00B0F0"/>
            <w:vAlign w:val="center"/>
          </w:tcPr>
          <w:p w14:paraId="184B0B4B"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No hunger</w:t>
            </w:r>
          </w:p>
        </w:tc>
        <w:tc>
          <w:tcPr>
            <w:tcW w:w="1134" w:type="dxa"/>
            <w:shd w:val="clear" w:color="auto" w:fill="00B0F0"/>
            <w:vAlign w:val="bottom"/>
          </w:tcPr>
          <w:p w14:paraId="11FCEE8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00B0F0"/>
            <w:vAlign w:val="bottom"/>
          </w:tcPr>
          <w:p w14:paraId="2F575FF3"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00B0F0"/>
            <w:vAlign w:val="bottom"/>
          </w:tcPr>
          <w:p w14:paraId="4608BBE1"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00B0F0"/>
            <w:vAlign w:val="bottom"/>
          </w:tcPr>
          <w:p w14:paraId="581C6EF8"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r w:rsidR="00D15278" w:rsidRPr="00E34E72" w14:paraId="7690A89D" w14:textId="77777777" w:rsidTr="006A6B4B">
        <w:trPr>
          <w:trHeight w:val="254"/>
        </w:trPr>
        <w:tc>
          <w:tcPr>
            <w:tcW w:w="3543" w:type="dxa"/>
            <w:shd w:val="clear" w:color="auto" w:fill="00B0F0"/>
            <w:vAlign w:val="center"/>
          </w:tcPr>
          <w:p w14:paraId="26EB90C6" w14:textId="77777777" w:rsidR="00F02846" w:rsidRPr="00E34E72" w:rsidRDefault="00217664" w:rsidP="00217664">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Good Health</w:t>
            </w:r>
          </w:p>
        </w:tc>
        <w:tc>
          <w:tcPr>
            <w:tcW w:w="1134" w:type="dxa"/>
            <w:shd w:val="clear" w:color="auto" w:fill="00B0F0"/>
            <w:vAlign w:val="bottom"/>
          </w:tcPr>
          <w:p w14:paraId="361DBED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00B0F0"/>
            <w:vAlign w:val="bottom"/>
          </w:tcPr>
          <w:p w14:paraId="2E2F1FD0"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00B0F0"/>
            <w:vAlign w:val="bottom"/>
          </w:tcPr>
          <w:p w14:paraId="60E44301"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00B0F0"/>
            <w:vAlign w:val="bottom"/>
          </w:tcPr>
          <w:p w14:paraId="2FEB726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456193C2" w14:textId="77777777" w:rsidTr="006A6B4B">
        <w:trPr>
          <w:trHeight w:val="254"/>
        </w:trPr>
        <w:tc>
          <w:tcPr>
            <w:tcW w:w="3543" w:type="dxa"/>
            <w:shd w:val="clear" w:color="auto" w:fill="92D050"/>
            <w:vAlign w:val="center"/>
          </w:tcPr>
          <w:p w14:paraId="26A18F04"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Quality education</w:t>
            </w:r>
          </w:p>
        </w:tc>
        <w:tc>
          <w:tcPr>
            <w:tcW w:w="1134" w:type="dxa"/>
            <w:shd w:val="clear" w:color="auto" w:fill="92D050"/>
            <w:vAlign w:val="bottom"/>
          </w:tcPr>
          <w:p w14:paraId="1EF84939"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92D050"/>
            <w:vAlign w:val="bottom"/>
          </w:tcPr>
          <w:p w14:paraId="361DCF19" w14:textId="77777777" w:rsidR="00D15278" w:rsidRPr="00E34E72" w:rsidRDefault="00E55251"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92D050"/>
            <w:vAlign w:val="bottom"/>
          </w:tcPr>
          <w:p w14:paraId="309EBF2F"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92D050"/>
            <w:vAlign w:val="bottom"/>
          </w:tcPr>
          <w:p w14:paraId="55194464"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49566A16" w14:textId="77777777" w:rsidTr="006A6B4B">
        <w:trPr>
          <w:trHeight w:val="254"/>
        </w:trPr>
        <w:tc>
          <w:tcPr>
            <w:tcW w:w="3543" w:type="dxa"/>
            <w:shd w:val="clear" w:color="auto" w:fill="00B0F0"/>
            <w:vAlign w:val="center"/>
          </w:tcPr>
          <w:p w14:paraId="4B6E54BD"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Gender equality</w:t>
            </w:r>
          </w:p>
        </w:tc>
        <w:tc>
          <w:tcPr>
            <w:tcW w:w="1134" w:type="dxa"/>
            <w:shd w:val="clear" w:color="auto" w:fill="00B0F0"/>
            <w:vAlign w:val="bottom"/>
          </w:tcPr>
          <w:p w14:paraId="62B5B9A3"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00B0F0"/>
            <w:vAlign w:val="bottom"/>
          </w:tcPr>
          <w:p w14:paraId="709FA064"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00B0F0"/>
            <w:vAlign w:val="bottom"/>
          </w:tcPr>
          <w:p w14:paraId="36D91809"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00B0F0"/>
            <w:vAlign w:val="bottom"/>
          </w:tcPr>
          <w:p w14:paraId="417BE6EA"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153A4703" w14:textId="77777777" w:rsidTr="006A6B4B">
        <w:trPr>
          <w:trHeight w:val="237"/>
        </w:trPr>
        <w:tc>
          <w:tcPr>
            <w:tcW w:w="3543" w:type="dxa"/>
            <w:shd w:val="clear" w:color="auto" w:fill="FFC000"/>
            <w:vAlign w:val="center"/>
          </w:tcPr>
          <w:p w14:paraId="1330A7FC"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Clean water and sanitation</w:t>
            </w:r>
          </w:p>
        </w:tc>
        <w:tc>
          <w:tcPr>
            <w:tcW w:w="1134" w:type="dxa"/>
            <w:shd w:val="clear" w:color="auto" w:fill="FFC000"/>
            <w:vAlign w:val="bottom"/>
          </w:tcPr>
          <w:p w14:paraId="4CA927C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FFC000"/>
            <w:vAlign w:val="bottom"/>
          </w:tcPr>
          <w:p w14:paraId="106867E6"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FFC000"/>
            <w:vAlign w:val="bottom"/>
          </w:tcPr>
          <w:p w14:paraId="10668B2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FFC000"/>
            <w:vAlign w:val="bottom"/>
          </w:tcPr>
          <w:p w14:paraId="48F5B555"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27E8572D" w14:textId="77777777" w:rsidTr="006A6B4B">
        <w:trPr>
          <w:trHeight w:val="254"/>
        </w:trPr>
        <w:tc>
          <w:tcPr>
            <w:tcW w:w="3543" w:type="dxa"/>
            <w:shd w:val="clear" w:color="auto" w:fill="FFC000"/>
            <w:vAlign w:val="center"/>
          </w:tcPr>
          <w:p w14:paraId="77C2FC5A"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Renewable energy</w:t>
            </w:r>
          </w:p>
        </w:tc>
        <w:tc>
          <w:tcPr>
            <w:tcW w:w="1134" w:type="dxa"/>
            <w:shd w:val="clear" w:color="auto" w:fill="FFC000"/>
            <w:vAlign w:val="bottom"/>
          </w:tcPr>
          <w:p w14:paraId="0E5806BA"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FFC000"/>
            <w:vAlign w:val="bottom"/>
          </w:tcPr>
          <w:p w14:paraId="6206D520"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FFC000"/>
            <w:vAlign w:val="bottom"/>
          </w:tcPr>
          <w:p w14:paraId="3B2B185F"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FFC000"/>
            <w:vAlign w:val="bottom"/>
          </w:tcPr>
          <w:p w14:paraId="7F52D5FD"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58A7C6F2" w14:textId="77777777" w:rsidTr="006A6B4B">
        <w:trPr>
          <w:trHeight w:val="254"/>
        </w:trPr>
        <w:tc>
          <w:tcPr>
            <w:tcW w:w="3543" w:type="dxa"/>
            <w:shd w:val="clear" w:color="auto" w:fill="92D050"/>
            <w:vAlign w:val="center"/>
          </w:tcPr>
          <w:p w14:paraId="17653463"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Good jobs and economic growth</w:t>
            </w:r>
          </w:p>
        </w:tc>
        <w:tc>
          <w:tcPr>
            <w:tcW w:w="1134" w:type="dxa"/>
            <w:shd w:val="clear" w:color="auto" w:fill="92D050"/>
            <w:vAlign w:val="bottom"/>
          </w:tcPr>
          <w:p w14:paraId="2097880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92D050"/>
            <w:vAlign w:val="bottom"/>
          </w:tcPr>
          <w:p w14:paraId="704ACBCF" w14:textId="77777777" w:rsidR="00D15278" w:rsidRPr="00E34E72" w:rsidRDefault="00E55251"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92D050"/>
            <w:vAlign w:val="bottom"/>
          </w:tcPr>
          <w:p w14:paraId="0079BEC9"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92D050"/>
            <w:vAlign w:val="bottom"/>
          </w:tcPr>
          <w:p w14:paraId="5998DECA"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r w:rsidR="00D15278" w:rsidRPr="00E34E72" w14:paraId="5B0BDB0C" w14:textId="77777777" w:rsidTr="006A6B4B">
        <w:trPr>
          <w:trHeight w:val="254"/>
        </w:trPr>
        <w:tc>
          <w:tcPr>
            <w:tcW w:w="3543" w:type="dxa"/>
            <w:shd w:val="clear" w:color="auto" w:fill="00B0F0"/>
            <w:vAlign w:val="center"/>
          </w:tcPr>
          <w:p w14:paraId="378815DF"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Innovation and infrastructure</w:t>
            </w:r>
          </w:p>
        </w:tc>
        <w:tc>
          <w:tcPr>
            <w:tcW w:w="1134" w:type="dxa"/>
            <w:shd w:val="clear" w:color="auto" w:fill="00B0F0"/>
            <w:vAlign w:val="bottom"/>
          </w:tcPr>
          <w:p w14:paraId="7ABBCB53"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00B0F0"/>
            <w:vAlign w:val="bottom"/>
          </w:tcPr>
          <w:p w14:paraId="11741BA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00B0F0"/>
            <w:vAlign w:val="bottom"/>
          </w:tcPr>
          <w:p w14:paraId="2E5589BF"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00B0F0"/>
            <w:vAlign w:val="bottom"/>
          </w:tcPr>
          <w:p w14:paraId="22922115"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r w:rsidR="00D15278" w:rsidRPr="00E34E72" w14:paraId="2CA37B06" w14:textId="77777777" w:rsidTr="006A6B4B">
        <w:trPr>
          <w:trHeight w:val="254"/>
        </w:trPr>
        <w:tc>
          <w:tcPr>
            <w:tcW w:w="3543" w:type="dxa"/>
            <w:shd w:val="clear" w:color="auto" w:fill="92D050"/>
            <w:vAlign w:val="center"/>
          </w:tcPr>
          <w:p w14:paraId="70DF52F1"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Reduced inequalities</w:t>
            </w:r>
          </w:p>
        </w:tc>
        <w:tc>
          <w:tcPr>
            <w:tcW w:w="1134" w:type="dxa"/>
            <w:shd w:val="clear" w:color="auto" w:fill="92D050"/>
            <w:vAlign w:val="bottom"/>
          </w:tcPr>
          <w:p w14:paraId="427DE3D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92D050"/>
            <w:vAlign w:val="bottom"/>
          </w:tcPr>
          <w:p w14:paraId="729B2F95"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92D050"/>
            <w:vAlign w:val="bottom"/>
          </w:tcPr>
          <w:p w14:paraId="467D5DF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92D050"/>
            <w:vAlign w:val="bottom"/>
          </w:tcPr>
          <w:p w14:paraId="528AA9DE" w14:textId="77777777" w:rsidR="00D15278" w:rsidRPr="00E34E72" w:rsidRDefault="00DC4C6A"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r w:rsidR="00B44B48" w:rsidRPr="00E34E72">
              <w:rPr>
                <w:rStyle w:val="PageNumber"/>
                <w:rFonts w:ascii="Arial" w:hAnsi="Arial" w:cs="Arial"/>
                <w:b/>
                <w:sz w:val="16"/>
                <w:szCs w:val="16"/>
                <w:lang w:val="en-US"/>
              </w:rPr>
              <w:t xml:space="preserve"> </w:t>
            </w:r>
          </w:p>
        </w:tc>
      </w:tr>
      <w:tr w:rsidR="00D15278" w:rsidRPr="00E34E72" w14:paraId="68AF07E3" w14:textId="77777777" w:rsidTr="006A6B4B">
        <w:trPr>
          <w:trHeight w:val="254"/>
        </w:trPr>
        <w:tc>
          <w:tcPr>
            <w:tcW w:w="3543" w:type="dxa"/>
            <w:shd w:val="clear" w:color="auto" w:fill="FFC000"/>
            <w:vAlign w:val="center"/>
          </w:tcPr>
          <w:p w14:paraId="16B352B3"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Sustainable cities and communities</w:t>
            </w:r>
          </w:p>
        </w:tc>
        <w:tc>
          <w:tcPr>
            <w:tcW w:w="1134" w:type="dxa"/>
            <w:shd w:val="clear" w:color="auto" w:fill="FFC000"/>
            <w:vAlign w:val="bottom"/>
          </w:tcPr>
          <w:p w14:paraId="7878555F"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FFC000"/>
            <w:vAlign w:val="bottom"/>
          </w:tcPr>
          <w:p w14:paraId="3B700E21"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FFC000"/>
            <w:vAlign w:val="bottom"/>
          </w:tcPr>
          <w:p w14:paraId="54DAE220"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FFC000"/>
            <w:vAlign w:val="bottom"/>
          </w:tcPr>
          <w:p w14:paraId="6C21D32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52CB84ED" w14:textId="77777777" w:rsidTr="006A6B4B">
        <w:trPr>
          <w:trHeight w:val="254"/>
        </w:trPr>
        <w:tc>
          <w:tcPr>
            <w:tcW w:w="3543" w:type="dxa"/>
            <w:shd w:val="clear" w:color="auto" w:fill="FFC000"/>
            <w:vAlign w:val="center"/>
          </w:tcPr>
          <w:p w14:paraId="1DCE85A1"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Responsible consumption</w:t>
            </w:r>
          </w:p>
        </w:tc>
        <w:tc>
          <w:tcPr>
            <w:tcW w:w="1134" w:type="dxa"/>
            <w:shd w:val="clear" w:color="auto" w:fill="FFC000"/>
            <w:vAlign w:val="bottom"/>
          </w:tcPr>
          <w:p w14:paraId="16E93620"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FFC000"/>
            <w:vAlign w:val="bottom"/>
          </w:tcPr>
          <w:p w14:paraId="0BCE2BCA"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FFC000"/>
            <w:vAlign w:val="bottom"/>
          </w:tcPr>
          <w:p w14:paraId="7F72A6C4"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FFC000"/>
            <w:vAlign w:val="bottom"/>
          </w:tcPr>
          <w:p w14:paraId="6C74AAD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r w:rsidR="00D15278" w:rsidRPr="00E34E72" w14:paraId="686B8A9C" w14:textId="77777777" w:rsidTr="006A6B4B">
        <w:trPr>
          <w:trHeight w:val="254"/>
        </w:trPr>
        <w:tc>
          <w:tcPr>
            <w:tcW w:w="3543" w:type="dxa"/>
            <w:shd w:val="clear" w:color="auto" w:fill="92D050"/>
            <w:vAlign w:val="center"/>
          </w:tcPr>
          <w:p w14:paraId="64B74B31"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Climate action</w:t>
            </w:r>
          </w:p>
        </w:tc>
        <w:tc>
          <w:tcPr>
            <w:tcW w:w="1134" w:type="dxa"/>
            <w:shd w:val="clear" w:color="auto" w:fill="92D050"/>
            <w:vAlign w:val="bottom"/>
          </w:tcPr>
          <w:p w14:paraId="66CC817F"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92D050"/>
            <w:vAlign w:val="bottom"/>
          </w:tcPr>
          <w:p w14:paraId="4E90D82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92D050"/>
            <w:vAlign w:val="bottom"/>
          </w:tcPr>
          <w:p w14:paraId="25C1230A"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92D050"/>
            <w:vAlign w:val="bottom"/>
          </w:tcPr>
          <w:p w14:paraId="7D6A0C6C"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462452A3" w14:textId="77777777" w:rsidTr="006A6B4B">
        <w:trPr>
          <w:trHeight w:val="254"/>
        </w:trPr>
        <w:tc>
          <w:tcPr>
            <w:tcW w:w="3543" w:type="dxa"/>
            <w:shd w:val="clear" w:color="auto" w:fill="00B0F0"/>
            <w:vAlign w:val="center"/>
          </w:tcPr>
          <w:p w14:paraId="00B17AC9"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Life below water</w:t>
            </w:r>
          </w:p>
        </w:tc>
        <w:tc>
          <w:tcPr>
            <w:tcW w:w="1134" w:type="dxa"/>
            <w:shd w:val="clear" w:color="auto" w:fill="00B0F0"/>
            <w:vAlign w:val="bottom"/>
          </w:tcPr>
          <w:p w14:paraId="33C02B04"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00B0F0"/>
            <w:vAlign w:val="bottom"/>
          </w:tcPr>
          <w:p w14:paraId="6E3F028E"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00B0F0"/>
            <w:vAlign w:val="bottom"/>
          </w:tcPr>
          <w:p w14:paraId="0251FF95"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00B0F0"/>
            <w:vAlign w:val="bottom"/>
          </w:tcPr>
          <w:p w14:paraId="1EC6A7E9"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r w:rsidR="00D15278" w:rsidRPr="00E34E72" w14:paraId="171C3C5F" w14:textId="77777777" w:rsidTr="006A6B4B">
        <w:trPr>
          <w:trHeight w:val="254"/>
        </w:trPr>
        <w:tc>
          <w:tcPr>
            <w:tcW w:w="3543" w:type="dxa"/>
            <w:shd w:val="clear" w:color="auto" w:fill="FFC000"/>
            <w:vAlign w:val="center"/>
          </w:tcPr>
          <w:p w14:paraId="7A832282"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Life on land</w:t>
            </w:r>
          </w:p>
        </w:tc>
        <w:tc>
          <w:tcPr>
            <w:tcW w:w="1134" w:type="dxa"/>
            <w:shd w:val="clear" w:color="auto" w:fill="FFC000"/>
            <w:vAlign w:val="bottom"/>
          </w:tcPr>
          <w:p w14:paraId="13CFD9A1"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560" w:type="dxa"/>
            <w:shd w:val="clear" w:color="auto" w:fill="FFC000"/>
            <w:vAlign w:val="bottom"/>
          </w:tcPr>
          <w:p w14:paraId="27DCA778"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FFC000"/>
            <w:vAlign w:val="bottom"/>
          </w:tcPr>
          <w:p w14:paraId="57115FFD"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FFC000"/>
            <w:vAlign w:val="bottom"/>
          </w:tcPr>
          <w:p w14:paraId="509C4BFE"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56E083C6" w14:textId="77777777" w:rsidTr="009C263E">
        <w:trPr>
          <w:trHeight w:val="254"/>
        </w:trPr>
        <w:tc>
          <w:tcPr>
            <w:tcW w:w="3543" w:type="dxa"/>
            <w:shd w:val="clear" w:color="auto" w:fill="92D050"/>
            <w:vAlign w:val="center"/>
          </w:tcPr>
          <w:p w14:paraId="3144CDF9" w14:textId="77777777" w:rsidR="00D15278" w:rsidRPr="00E34E72" w:rsidRDefault="00D15278" w:rsidP="009C263E">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t>Peace and justice</w:t>
            </w:r>
          </w:p>
        </w:tc>
        <w:tc>
          <w:tcPr>
            <w:tcW w:w="1134" w:type="dxa"/>
            <w:shd w:val="clear" w:color="auto" w:fill="92D050"/>
            <w:vAlign w:val="bottom"/>
          </w:tcPr>
          <w:p w14:paraId="379E8B8B"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92D050"/>
            <w:vAlign w:val="bottom"/>
          </w:tcPr>
          <w:p w14:paraId="585C3547"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56" w:type="dxa"/>
            <w:shd w:val="clear" w:color="auto" w:fill="92D050"/>
            <w:vAlign w:val="bottom"/>
          </w:tcPr>
          <w:p w14:paraId="6474C034"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61" w:type="dxa"/>
            <w:shd w:val="clear" w:color="auto" w:fill="92D050"/>
            <w:vAlign w:val="bottom"/>
          </w:tcPr>
          <w:p w14:paraId="6DFE7BCE"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r>
      <w:tr w:rsidR="00D15278" w:rsidRPr="00E34E72" w14:paraId="05EBC22D" w14:textId="77777777" w:rsidTr="006A6B4B">
        <w:trPr>
          <w:trHeight w:val="254"/>
        </w:trPr>
        <w:tc>
          <w:tcPr>
            <w:tcW w:w="3543" w:type="dxa"/>
            <w:shd w:val="clear" w:color="auto" w:fill="00B0F0"/>
            <w:vAlign w:val="center"/>
          </w:tcPr>
          <w:p w14:paraId="7E2C192B" w14:textId="77777777" w:rsidR="00D15278" w:rsidRPr="00E34E72" w:rsidRDefault="00D15278" w:rsidP="006A6B4B">
            <w:pPr>
              <w:pStyle w:val="ListParagraph"/>
              <w:numPr>
                <w:ilvl w:val="0"/>
                <w:numId w:val="4"/>
              </w:numPr>
              <w:spacing w:line="360" w:lineRule="auto"/>
              <w:rPr>
                <w:rStyle w:val="PageNumber"/>
                <w:rFonts w:ascii="Arial" w:hAnsi="Arial" w:cs="Arial"/>
                <w:b/>
                <w:sz w:val="16"/>
                <w:szCs w:val="16"/>
                <w:lang w:val="en-US"/>
              </w:rPr>
            </w:pPr>
            <w:r w:rsidRPr="00E34E72">
              <w:rPr>
                <w:rStyle w:val="PageNumber"/>
                <w:rFonts w:ascii="Arial" w:hAnsi="Arial" w:cs="Arial"/>
                <w:b/>
                <w:sz w:val="16"/>
                <w:szCs w:val="16"/>
                <w:lang w:val="en-US"/>
              </w:rPr>
              <w:lastRenderedPageBreak/>
              <w:t xml:space="preserve">Partnerships for the goals </w:t>
            </w:r>
          </w:p>
        </w:tc>
        <w:tc>
          <w:tcPr>
            <w:tcW w:w="1134" w:type="dxa"/>
            <w:shd w:val="clear" w:color="auto" w:fill="00B0F0"/>
            <w:vAlign w:val="bottom"/>
          </w:tcPr>
          <w:p w14:paraId="7CCE8971"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560" w:type="dxa"/>
            <w:shd w:val="clear" w:color="auto" w:fill="00B0F0"/>
            <w:vAlign w:val="bottom"/>
          </w:tcPr>
          <w:p w14:paraId="1A7BB9F3"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p>
        </w:tc>
        <w:tc>
          <w:tcPr>
            <w:tcW w:w="1156" w:type="dxa"/>
            <w:shd w:val="clear" w:color="auto" w:fill="00B0F0"/>
            <w:vAlign w:val="bottom"/>
          </w:tcPr>
          <w:p w14:paraId="17996989"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c>
          <w:tcPr>
            <w:tcW w:w="1161" w:type="dxa"/>
            <w:shd w:val="clear" w:color="auto" w:fill="00B0F0"/>
            <w:vAlign w:val="bottom"/>
          </w:tcPr>
          <w:p w14:paraId="73726078" w14:textId="77777777" w:rsidR="00D15278" w:rsidRPr="00E34E72" w:rsidRDefault="00D15278" w:rsidP="006A6B4B">
            <w:pPr>
              <w:pStyle w:val="ListParagraph"/>
              <w:spacing w:line="360" w:lineRule="auto"/>
              <w:ind w:left="0"/>
              <w:jc w:val="center"/>
              <w:rPr>
                <w:rStyle w:val="PageNumber"/>
                <w:rFonts w:ascii="Arial" w:hAnsi="Arial" w:cs="Arial"/>
                <w:b/>
                <w:sz w:val="16"/>
                <w:szCs w:val="16"/>
                <w:lang w:val="en-US"/>
              </w:rPr>
            </w:pPr>
            <w:r w:rsidRPr="00E34E72">
              <w:rPr>
                <w:rStyle w:val="PageNumber"/>
                <w:rFonts w:ascii="Arial" w:hAnsi="Arial" w:cs="Arial"/>
                <w:b/>
                <w:sz w:val="16"/>
                <w:szCs w:val="16"/>
                <w:lang w:val="en-US"/>
              </w:rPr>
              <w:t>X</w:t>
            </w:r>
          </w:p>
        </w:tc>
      </w:tr>
    </w:tbl>
    <w:p w14:paraId="4084DF16" w14:textId="77777777" w:rsidR="00195B78" w:rsidRPr="00E34E72" w:rsidRDefault="000B5C7A" w:rsidP="006A6B4B">
      <w:pPr>
        <w:spacing w:line="240" w:lineRule="auto"/>
        <w:rPr>
          <w:rFonts w:ascii="Arial" w:hAnsi="Arial" w:cs="Arial"/>
          <w:lang w:val="en-US"/>
        </w:rPr>
      </w:pPr>
      <w:r w:rsidRPr="00E34E72">
        <w:rPr>
          <w:rFonts w:ascii="Arial" w:hAnsi="Arial" w:cs="Arial"/>
          <w:sz w:val="16"/>
          <w:szCs w:val="16"/>
          <w:lang w:val="en-US"/>
        </w:rPr>
        <w:br/>
      </w:r>
    </w:p>
    <w:p w14:paraId="446F254F" w14:textId="77777777" w:rsidR="00195B78" w:rsidRPr="00E34E72" w:rsidRDefault="00696B15" w:rsidP="006A6B4B">
      <w:pPr>
        <w:spacing w:line="360" w:lineRule="auto"/>
        <w:jc w:val="both"/>
        <w:rPr>
          <w:rFonts w:ascii="Arial" w:hAnsi="Arial" w:cs="Arial"/>
          <w:lang w:val="en-US"/>
        </w:rPr>
      </w:pPr>
      <w:r w:rsidRPr="00E34E72">
        <w:rPr>
          <w:rFonts w:ascii="Arial" w:hAnsi="Arial" w:cs="Arial"/>
          <w:lang w:val="en-US"/>
        </w:rPr>
        <w:t>Table 1 shows that the goals in the focus of this years’ HLPF</w:t>
      </w:r>
      <w:r w:rsidR="00374029" w:rsidRPr="00E34E72">
        <w:rPr>
          <w:rFonts w:ascii="Arial" w:hAnsi="Arial" w:cs="Arial"/>
          <w:lang w:val="en-US"/>
        </w:rPr>
        <w:t xml:space="preserve"> (highlighted above in blue)</w:t>
      </w:r>
      <w:r w:rsidRPr="00E34E72">
        <w:rPr>
          <w:rFonts w:ascii="Arial" w:hAnsi="Arial" w:cs="Arial"/>
          <w:lang w:val="en-US"/>
        </w:rPr>
        <w:t xml:space="preserve"> do not </w:t>
      </w:r>
      <w:r w:rsidR="006A6B4B" w:rsidRPr="00E34E72">
        <w:rPr>
          <w:rFonts w:ascii="Arial" w:hAnsi="Arial" w:cs="Arial"/>
          <w:lang w:val="en-US"/>
        </w:rPr>
        <w:t>present</w:t>
      </w:r>
      <w:r w:rsidRPr="00E34E72">
        <w:rPr>
          <w:rFonts w:ascii="Arial" w:hAnsi="Arial" w:cs="Arial"/>
          <w:lang w:val="en-US"/>
        </w:rPr>
        <w:t xml:space="preserve"> a coherent pattern concerning migration. Three of them explicitly mention migration, three point </w:t>
      </w:r>
      <w:r w:rsidR="00374029" w:rsidRPr="00E34E72">
        <w:rPr>
          <w:rFonts w:ascii="Arial" w:hAnsi="Arial" w:cs="Arial"/>
          <w:lang w:val="en-US"/>
        </w:rPr>
        <w:t xml:space="preserve">at </w:t>
      </w:r>
      <w:r w:rsidR="00761B7A" w:rsidRPr="00E34E72">
        <w:rPr>
          <w:rFonts w:ascii="Arial" w:hAnsi="Arial" w:cs="Arial"/>
          <w:lang w:val="en-US"/>
        </w:rPr>
        <w:t>vulnerability of migrants</w:t>
      </w:r>
      <w:r w:rsidRPr="00E34E72">
        <w:rPr>
          <w:rFonts w:ascii="Arial" w:hAnsi="Arial" w:cs="Arial"/>
          <w:lang w:val="en-US"/>
        </w:rPr>
        <w:t xml:space="preserve"> and </w:t>
      </w:r>
      <w:r w:rsidR="000B5C7A" w:rsidRPr="00E34E72">
        <w:rPr>
          <w:rFonts w:ascii="Arial" w:hAnsi="Arial" w:cs="Arial"/>
          <w:lang w:val="en-US"/>
        </w:rPr>
        <w:t>protection mechanisms</w:t>
      </w:r>
      <w:r w:rsidRPr="00E34E72">
        <w:rPr>
          <w:rFonts w:ascii="Arial" w:hAnsi="Arial" w:cs="Arial"/>
          <w:lang w:val="en-US"/>
        </w:rPr>
        <w:t>, five at potentials of migration</w:t>
      </w:r>
      <w:r w:rsidR="00374029" w:rsidRPr="00E34E72">
        <w:rPr>
          <w:rFonts w:ascii="Arial" w:hAnsi="Arial" w:cs="Arial"/>
          <w:lang w:val="en-US"/>
        </w:rPr>
        <w:t>,</w:t>
      </w:r>
      <w:r w:rsidRPr="00E34E72">
        <w:rPr>
          <w:rFonts w:ascii="Arial" w:hAnsi="Arial" w:cs="Arial"/>
          <w:lang w:val="en-US"/>
        </w:rPr>
        <w:t xml:space="preserve"> and four work on employment creation.</w:t>
      </w:r>
      <w:r w:rsidR="004F4D87" w:rsidRPr="00E34E72">
        <w:rPr>
          <w:rFonts w:ascii="Arial" w:hAnsi="Arial" w:cs="Arial"/>
          <w:lang w:val="en-US"/>
        </w:rPr>
        <w:t xml:space="preserve"> </w:t>
      </w:r>
      <w:r w:rsidR="007C66CB" w:rsidRPr="00E34E72">
        <w:rPr>
          <w:rFonts w:ascii="Arial" w:hAnsi="Arial" w:cs="Arial"/>
          <w:lang w:val="en-US"/>
        </w:rPr>
        <w:t xml:space="preserve">This first GFMD </w:t>
      </w:r>
      <w:r w:rsidR="007C66CB" w:rsidRPr="00E34E72">
        <w:rPr>
          <w:rFonts w:ascii="Arial" w:hAnsi="Arial" w:cs="Arial"/>
          <w:u w:val="single"/>
          <w:lang w:val="en-US"/>
        </w:rPr>
        <w:t>report focuses on the explicit migration-related targets</w:t>
      </w:r>
      <w:r w:rsidR="00CD76D0">
        <w:rPr>
          <w:rFonts w:ascii="Arial" w:hAnsi="Arial" w:cs="Arial"/>
          <w:u w:val="single"/>
          <w:lang w:val="en-US"/>
        </w:rPr>
        <w:t xml:space="preserve"> in focus of the 2017 HLPF</w:t>
      </w:r>
      <w:r w:rsidR="007C66CB" w:rsidRPr="00E34E72">
        <w:rPr>
          <w:rFonts w:ascii="Arial" w:hAnsi="Arial" w:cs="Arial"/>
          <w:lang w:val="en-US"/>
        </w:rPr>
        <w:t xml:space="preserve">, notwithstanding the implicit references to migration inherent in other sub-goals and targets. These </w:t>
      </w:r>
      <w:r w:rsidR="00592D0A" w:rsidRPr="00E34E72">
        <w:rPr>
          <w:rFonts w:ascii="Arial" w:hAnsi="Arial" w:cs="Arial"/>
          <w:lang w:val="en-US"/>
        </w:rPr>
        <w:t xml:space="preserve">could </w:t>
      </w:r>
      <w:r w:rsidR="007C66CB" w:rsidRPr="00E34E72">
        <w:rPr>
          <w:rFonts w:ascii="Arial" w:hAnsi="Arial" w:cs="Arial"/>
          <w:lang w:val="en-US"/>
        </w:rPr>
        <w:t>be explored more thoroughly in the upcoming GFMD reports for future HLPF</w:t>
      </w:r>
      <w:r w:rsidR="00F625B4" w:rsidRPr="00E34E72">
        <w:rPr>
          <w:rFonts w:ascii="Arial" w:hAnsi="Arial" w:cs="Arial"/>
          <w:lang w:val="en-US"/>
        </w:rPr>
        <w:t xml:space="preserve"> sessions. </w:t>
      </w:r>
    </w:p>
    <w:p w14:paraId="76F72B20" w14:textId="61FEA675" w:rsidR="00020D37" w:rsidRDefault="00D15278" w:rsidP="006A6B4B">
      <w:pPr>
        <w:spacing w:line="360" w:lineRule="auto"/>
        <w:jc w:val="both"/>
        <w:rPr>
          <w:rFonts w:ascii="Arial" w:hAnsi="Arial" w:cs="Arial"/>
          <w:lang w:val="en-US"/>
        </w:rPr>
      </w:pPr>
      <w:r w:rsidRPr="00E34E72">
        <w:rPr>
          <w:rFonts w:ascii="Arial" w:hAnsi="Arial" w:cs="Arial"/>
          <w:lang w:val="en-US"/>
        </w:rPr>
        <w:t xml:space="preserve">When focusing on the explicit migration-related targets, it should be mentioned that </w:t>
      </w:r>
      <w:r w:rsidRPr="00E34E72">
        <w:rPr>
          <w:rFonts w:ascii="Arial" w:hAnsi="Arial" w:cs="Arial"/>
          <w:u w:val="single"/>
          <w:lang w:val="en-US"/>
        </w:rPr>
        <w:t xml:space="preserve">a lot of work has already been done on </w:t>
      </w:r>
      <w:r w:rsidR="00263687" w:rsidRPr="00E34E72">
        <w:rPr>
          <w:rFonts w:ascii="Arial" w:hAnsi="Arial" w:cs="Arial"/>
          <w:u w:val="single"/>
          <w:lang w:val="en-US"/>
        </w:rPr>
        <w:t>target 3.c</w:t>
      </w:r>
      <w:r w:rsidR="00263687" w:rsidRPr="00E34E72">
        <w:rPr>
          <w:rFonts w:ascii="Arial" w:hAnsi="Arial" w:cs="Arial"/>
          <w:lang w:val="en-US"/>
        </w:rPr>
        <w:t>, namely on how the migration of health workers could be made more development-oriented, thus not causi</w:t>
      </w:r>
      <w:r w:rsidR="006C5647" w:rsidRPr="00E34E72">
        <w:rPr>
          <w:rFonts w:ascii="Arial" w:hAnsi="Arial" w:cs="Arial"/>
          <w:lang w:val="en-US"/>
        </w:rPr>
        <w:t>ng any care drain in the countries</w:t>
      </w:r>
      <w:r w:rsidR="00263687" w:rsidRPr="00E34E72">
        <w:rPr>
          <w:rFonts w:ascii="Arial" w:hAnsi="Arial" w:cs="Arial"/>
          <w:lang w:val="en-US"/>
        </w:rPr>
        <w:t xml:space="preserve"> of origin. </w:t>
      </w:r>
      <w:r w:rsidR="00F625B4" w:rsidRPr="00E34E72">
        <w:rPr>
          <w:rFonts w:ascii="Arial" w:hAnsi="Arial" w:cs="Arial"/>
          <w:lang w:val="en-US"/>
        </w:rPr>
        <w:t xml:space="preserve">Already the </w:t>
      </w:r>
      <w:r w:rsidR="00F625B4" w:rsidRPr="00E34E72">
        <w:rPr>
          <w:rFonts w:ascii="Arial" w:hAnsi="Arial" w:cs="Arial"/>
          <w:u w:val="single"/>
          <w:lang w:val="en-US"/>
        </w:rPr>
        <w:t>first GFMD Summit in 2007</w:t>
      </w:r>
      <w:r w:rsidR="00F625B4" w:rsidRPr="00E34E72">
        <w:rPr>
          <w:rFonts w:ascii="Arial" w:hAnsi="Arial" w:cs="Arial"/>
          <w:lang w:val="en-US"/>
        </w:rPr>
        <w:t xml:space="preserve"> recommended collating good policies and practices that will allow countries to </w:t>
      </w:r>
      <w:r w:rsidR="00F625B4" w:rsidRPr="00E34E72">
        <w:rPr>
          <w:rFonts w:ascii="Arial" w:hAnsi="Arial" w:cs="Arial"/>
          <w:u w:val="single"/>
          <w:lang w:val="en-US"/>
        </w:rPr>
        <w:t>better manage human resource development and deployment in highly skilled sectors</w:t>
      </w:r>
      <w:r w:rsidR="00F625B4" w:rsidRPr="00E34E72">
        <w:rPr>
          <w:rFonts w:ascii="Arial" w:hAnsi="Arial" w:cs="Arial"/>
          <w:lang w:val="en-US"/>
        </w:rPr>
        <w:t xml:space="preserve">, </w:t>
      </w:r>
      <w:r w:rsidR="00F625B4" w:rsidRPr="00E34E72">
        <w:rPr>
          <w:rFonts w:ascii="Arial" w:hAnsi="Arial" w:cs="Arial"/>
          <w:b/>
          <w:lang w:val="en-US"/>
        </w:rPr>
        <w:t>particularly the health sector</w:t>
      </w:r>
      <w:r w:rsidR="00F625B4" w:rsidRPr="00E34E72">
        <w:rPr>
          <w:rFonts w:ascii="Arial" w:hAnsi="Arial" w:cs="Arial"/>
          <w:lang w:val="en-US"/>
        </w:rPr>
        <w:t>, and ensure effective partnership between origin and destination countries.</w:t>
      </w:r>
      <w:r w:rsidR="00D14F35">
        <w:rPr>
          <w:rFonts w:ascii="Arial" w:hAnsi="Arial" w:cs="Arial"/>
          <w:lang w:val="en-US"/>
        </w:rPr>
        <w:t xml:space="preserve"> Well-designed</w:t>
      </w:r>
      <w:r w:rsidR="00F625B4" w:rsidRPr="00E34E72">
        <w:rPr>
          <w:rFonts w:ascii="Arial" w:hAnsi="Arial" w:cs="Arial"/>
          <w:lang w:val="en-US"/>
        </w:rPr>
        <w:t xml:space="preserve"> </w:t>
      </w:r>
      <w:r w:rsidR="00D14F35">
        <w:rPr>
          <w:rFonts w:ascii="Arial" w:hAnsi="Arial" w:cs="Arial"/>
          <w:lang w:val="en-US"/>
        </w:rPr>
        <w:t>s</w:t>
      </w:r>
      <w:r w:rsidR="00263687" w:rsidRPr="00E34E72">
        <w:rPr>
          <w:rFonts w:ascii="Arial" w:hAnsi="Arial" w:cs="Arial"/>
          <w:lang w:val="en-US"/>
        </w:rPr>
        <w:t>kills partnerships,</w:t>
      </w:r>
      <w:r w:rsidR="00D14F35">
        <w:rPr>
          <w:rFonts w:ascii="Arial" w:hAnsi="Arial" w:cs="Arial"/>
          <w:lang w:val="en-US"/>
        </w:rPr>
        <w:t xml:space="preserve"> including the adoption of ethical recruitment codes (such as the WHO ethical code of recruitment for medical staff) and</w:t>
      </w:r>
      <w:r w:rsidR="00263687" w:rsidRPr="00E34E72">
        <w:rPr>
          <w:rFonts w:ascii="Arial" w:hAnsi="Arial" w:cs="Arial"/>
          <w:lang w:val="en-US"/>
        </w:rPr>
        <w:t xml:space="preserve"> aiming to leverage migration gains for qualitatively and quantitatively improved education of health personnel in countries of origin, seem to be an important way out of the dilemma of global health work</w:t>
      </w:r>
      <w:r w:rsidR="006C5647" w:rsidRPr="00E34E72">
        <w:rPr>
          <w:rFonts w:ascii="Arial" w:hAnsi="Arial" w:cs="Arial"/>
          <w:lang w:val="en-US"/>
        </w:rPr>
        <w:t>er</w:t>
      </w:r>
      <w:r w:rsidR="00263687" w:rsidRPr="00E34E72">
        <w:rPr>
          <w:rFonts w:ascii="Arial" w:hAnsi="Arial" w:cs="Arial"/>
          <w:lang w:val="en-US"/>
        </w:rPr>
        <w:t xml:space="preserve"> shortages. Considering </w:t>
      </w:r>
      <w:r w:rsidR="00263687" w:rsidRPr="00E34E72">
        <w:rPr>
          <w:rFonts w:ascii="Arial" w:hAnsi="Arial" w:cs="Arial"/>
          <w:u w:val="single"/>
          <w:lang w:val="en-US"/>
        </w:rPr>
        <w:t>target 17.18</w:t>
      </w:r>
      <w:r w:rsidR="00263687" w:rsidRPr="00E34E72">
        <w:rPr>
          <w:rFonts w:ascii="Arial" w:hAnsi="Arial" w:cs="Arial"/>
          <w:lang w:val="en-US"/>
        </w:rPr>
        <w:t xml:space="preserve">, there are also </w:t>
      </w:r>
      <w:r w:rsidR="00195B78" w:rsidRPr="00E34E72">
        <w:rPr>
          <w:rFonts w:ascii="Arial" w:hAnsi="Arial" w:cs="Arial"/>
          <w:lang w:val="en-US"/>
        </w:rPr>
        <w:t xml:space="preserve">various </w:t>
      </w:r>
      <w:r w:rsidR="00263687" w:rsidRPr="00E34E72">
        <w:rPr>
          <w:rFonts w:ascii="Arial" w:hAnsi="Arial" w:cs="Arial"/>
          <w:lang w:val="en-US"/>
        </w:rPr>
        <w:t xml:space="preserve">initiatives aiming to improve </w:t>
      </w:r>
      <w:r w:rsidR="00263687" w:rsidRPr="00E34E72">
        <w:rPr>
          <w:rFonts w:ascii="Arial" w:hAnsi="Arial" w:cs="Arial"/>
          <w:b/>
          <w:lang w:val="en-US"/>
        </w:rPr>
        <w:t>data collection on migration</w:t>
      </w:r>
      <w:r w:rsidR="00263687" w:rsidRPr="00E34E72">
        <w:rPr>
          <w:rFonts w:ascii="Arial" w:hAnsi="Arial" w:cs="Arial"/>
          <w:lang w:val="en-US"/>
        </w:rPr>
        <w:t>: this is extremely important since policy making in this area still has to rely on rather piecemeal data that might not even be comparable across countries</w:t>
      </w:r>
      <w:r w:rsidR="00A4635E" w:rsidRPr="00E34E72">
        <w:rPr>
          <w:rFonts w:ascii="Arial" w:hAnsi="Arial" w:cs="Arial"/>
          <w:lang w:val="en-US"/>
        </w:rPr>
        <w:t xml:space="preserve">. </w:t>
      </w:r>
      <w:r w:rsidR="005D7A4C" w:rsidRPr="00E34E72">
        <w:rPr>
          <w:rFonts w:ascii="Arial" w:hAnsi="Arial" w:cs="Arial"/>
          <w:lang w:val="en-US"/>
        </w:rPr>
        <w:t xml:space="preserve">For example, the </w:t>
      </w:r>
      <w:r w:rsidR="005D7A4C" w:rsidRPr="00E34E72">
        <w:rPr>
          <w:rFonts w:ascii="Arial" w:hAnsi="Arial" w:cs="Arial"/>
          <w:u w:val="single"/>
          <w:lang w:val="en-US"/>
        </w:rPr>
        <w:t>Sweden Summit 2013-2014</w:t>
      </w:r>
      <w:r w:rsidR="005D7A4C" w:rsidRPr="00E34E72">
        <w:rPr>
          <w:rFonts w:ascii="Arial" w:hAnsi="Arial" w:cs="Arial"/>
          <w:lang w:val="en-US"/>
        </w:rPr>
        <w:t xml:space="preserve"> em</w:t>
      </w:r>
      <w:r w:rsidR="00F34836">
        <w:rPr>
          <w:rFonts w:ascii="Arial" w:hAnsi="Arial" w:cs="Arial"/>
          <w:lang w:val="en-US"/>
        </w:rPr>
        <w:t xml:space="preserve">phasized that data </w:t>
      </w:r>
      <w:r w:rsidR="005D7A4C" w:rsidRPr="00E34E72">
        <w:rPr>
          <w:rFonts w:ascii="Arial" w:hAnsi="Arial" w:cs="Arial"/>
          <w:lang w:val="en-US"/>
        </w:rPr>
        <w:t>collection, availability of statistics and analysis of migration and development was crucial for evidence-based policy making.</w:t>
      </w:r>
      <w:r w:rsidR="003E2605" w:rsidRPr="00E34E72">
        <w:rPr>
          <w:rFonts w:ascii="Arial" w:hAnsi="Arial" w:cs="Arial"/>
          <w:lang w:val="en-US"/>
        </w:rPr>
        <w:t xml:space="preserve"> For example, in the framework of the 2015 GFMD, the European Union and the IOM have developed the so-called </w:t>
      </w:r>
      <w:hyperlink r:id="rId9" w:history="1">
        <w:r w:rsidR="003E2605" w:rsidRPr="00E34E72">
          <w:rPr>
            <w:rStyle w:val="Hyperlink"/>
            <w:rFonts w:ascii="Arial" w:hAnsi="Arial" w:cs="Arial"/>
            <w:lang w:val="en-US"/>
          </w:rPr>
          <w:t>Extended Migration Profile (EMP),</w:t>
        </w:r>
      </w:hyperlink>
      <w:r w:rsidR="003E2605" w:rsidRPr="00E34E72">
        <w:rPr>
          <w:rFonts w:ascii="Arial" w:hAnsi="Arial" w:cs="Arial"/>
          <w:lang w:val="en-US"/>
        </w:rPr>
        <w:t xml:space="preserve"> to be used to enhance policy coherence, evidence-based policymaking and the mainstreaming of migration</w:t>
      </w:r>
      <w:r w:rsidR="00F34836">
        <w:rPr>
          <w:rFonts w:ascii="Arial" w:hAnsi="Arial" w:cs="Arial"/>
          <w:lang w:val="en-US"/>
        </w:rPr>
        <w:t xml:space="preserve"> into development planning</w:t>
      </w:r>
      <w:r w:rsidR="001B5E53" w:rsidRPr="00E34E72">
        <w:rPr>
          <w:rFonts w:ascii="Arial" w:hAnsi="Arial" w:cs="Arial"/>
          <w:lang w:val="en-US"/>
        </w:rPr>
        <w:t>.</w:t>
      </w:r>
      <w:r w:rsidR="005D7A4C" w:rsidRPr="00E34E72">
        <w:rPr>
          <w:rFonts w:ascii="Arial" w:hAnsi="Arial" w:cs="Arial"/>
          <w:lang w:val="en-US"/>
        </w:rPr>
        <w:t xml:space="preserve"> </w:t>
      </w:r>
      <w:r w:rsidR="00A4635E" w:rsidRPr="00E34E72">
        <w:rPr>
          <w:rFonts w:ascii="Arial" w:hAnsi="Arial" w:cs="Arial"/>
          <w:b/>
          <w:lang w:val="en-US"/>
        </w:rPr>
        <w:t>Trafficking of women and girls</w:t>
      </w:r>
      <w:r w:rsidR="00A4635E" w:rsidRPr="00E34E72">
        <w:rPr>
          <w:rFonts w:ascii="Arial" w:hAnsi="Arial" w:cs="Arial"/>
          <w:lang w:val="en-US"/>
        </w:rPr>
        <w:t xml:space="preserve">, as described in </w:t>
      </w:r>
      <w:r w:rsidR="00A4635E" w:rsidRPr="00E34E72">
        <w:rPr>
          <w:rFonts w:ascii="Arial" w:hAnsi="Arial" w:cs="Arial"/>
          <w:u w:val="single"/>
          <w:lang w:val="en-US"/>
        </w:rPr>
        <w:t>target 5.2</w:t>
      </w:r>
      <w:r w:rsidR="00A4635E" w:rsidRPr="00E34E72">
        <w:rPr>
          <w:rFonts w:ascii="Arial" w:hAnsi="Arial" w:cs="Arial"/>
          <w:lang w:val="en-US"/>
        </w:rPr>
        <w:t>, also gained a lot of attention in recent years</w:t>
      </w:r>
      <w:r w:rsidR="00912F13" w:rsidRPr="00E34E72">
        <w:rPr>
          <w:rFonts w:ascii="Arial" w:hAnsi="Arial" w:cs="Arial"/>
          <w:lang w:val="en-US"/>
        </w:rPr>
        <w:t>.</w:t>
      </w:r>
      <w:r w:rsidR="00A4635E" w:rsidRPr="00E34E72">
        <w:rPr>
          <w:rFonts w:ascii="Arial" w:hAnsi="Arial" w:cs="Arial"/>
          <w:lang w:val="en-US"/>
        </w:rPr>
        <w:t xml:space="preserve"> </w:t>
      </w:r>
      <w:r w:rsidR="005D7A4C" w:rsidRPr="00E34E72">
        <w:rPr>
          <w:rFonts w:ascii="Arial" w:hAnsi="Arial" w:cs="Arial"/>
          <w:lang w:val="en-US"/>
        </w:rPr>
        <w:t xml:space="preserve">Mostly dealing with human trafficking in an attempt to formulate joint strategies to address irregular migration, </w:t>
      </w:r>
      <w:r w:rsidR="00912F13" w:rsidRPr="00E34E72">
        <w:rPr>
          <w:rFonts w:ascii="Arial" w:hAnsi="Arial" w:cs="Arial"/>
          <w:u w:val="single"/>
          <w:lang w:val="en-US"/>
        </w:rPr>
        <w:t xml:space="preserve">the GFMD Summit in Mexico </w:t>
      </w:r>
      <w:r w:rsidR="00B81CAA" w:rsidRPr="00E34E72">
        <w:rPr>
          <w:rFonts w:ascii="Arial" w:hAnsi="Arial" w:cs="Arial"/>
          <w:u w:val="single"/>
          <w:lang w:val="en-US"/>
        </w:rPr>
        <w:t>in 2010</w:t>
      </w:r>
      <w:r w:rsidR="00B81CAA" w:rsidRPr="00E34E72">
        <w:rPr>
          <w:rFonts w:ascii="Arial" w:hAnsi="Arial" w:cs="Arial"/>
          <w:lang w:val="en-US"/>
        </w:rPr>
        <w:t xml:space="preserve"> </w:t>
      </w:r>
      <w:r w:rsidR="00912F13" w:rsidRPr="00E34E72">
        <w:rPr>
          <w:rFonts w:ascii="Arial" w:hAnsi="Arial" w:cs="Arial"/>
          <w:lang w:val="en-US"/>
        </w:rPr>
        <w:t xml:space="preserve">outlined the importance of </w:t>
      </w:r>
      <w:r w:rsidR="009E267F" w:rsidRPr="00E34E72">
        <w:rPr>
          <w:rFonts w:ascii="Arial" w:hAnsi="Arial" w:cs="Arial"/>
          <w:lang w:val="en-US"/>
        </w:rPr>
        <w:t>protecting the</w:t>
      </w:r>
      <w:r w:rsidR="004F4D87" w:rsidRPr="00E34E72">
        <w:rPr>
          <w:rFonts w:ascii="Arial" w:hAnsi="Arial" w:cs="Arial"/>
          <w:lang w:val="en-US"/>
        </w:rPr>
        <w:t xml:space="preserve"> </w:t>
      </w:r>
      <w:r w:rsidR="00912F13" w:rsidRPr="00E34E72">
        <w:rPr>
          <w:rFonts w:ascii="Arial" w:hAnsi="Arial" w:cs="Arial"/>
          <w:lang w:val="en-US"/>
        </w:rPr>
        <w:t>victims of trafficking and</w:t>
      </w:r>
      <w:r w:rsidR="009E267F" w:rsidRPr="00E34E72">
        <w:rPr>
          <w:rFonts w:ascii="Arial" w:hAnsi="Arial" w:cs="Arial"/>
          <w:lang w:val="en-US"/>
        </w:rPr>
        <w:t xml:space="preserve"> ending</w:t>
      </w:r>
      <w:r w:rsidR="00912F13" w:rsidRPr="00E34E72">
        <w:rPr>
          <w:rFonts w:ascii="Arial" w:hAnsi="Arial" w:cs="Arial"/>
          <w:lang w:val="en-US"/>
        </w:rPr>
        <w:t xml:space="preserve"> gender-based exploitation. However,</w:t>
      </w:r>
      <w:r w:rsidR="00D86204" w:rsidRPr="00E34E72">
        <w:rPr>
          <w:rFonts w:ascii="Arial" w:hAnsi="Arial" w:cs="Arial"/>
          <w:lang w:val="en-US"/>
        </w:rPr>
        <w:t xml:space="preserve"> in the absence of comprehensive strategies to address trafficking of women and girls, this</w:t>
      </w:r>
      <w:r w:rsidR="00912F13" w:rsidRPr="00E34E72">
        <w:rPr>
          <w:rFonts w:ascii="Arial" w:hAnsi="Arial" w:cs="Arial"/>
          <w:lang w:val="en-US"/>
        </w:rPr>
        <w:t xml:space="preserve"> issue remains a serious global problem</w:t>
      </w:r>
      <w:r w:rsidR="00D86204" w:rsidRPr="00E34E72">
        <w:rPr>
          <w:rFonts w:ascii="Arial" w:hAnsi="Arial" w:cs="Arial"/>
          <w:lang w:val="en-US"/>
        </w:rPr>
        <w:t xml:space="preserve">. </w:t>
      </w:r>
    </w:p>
    <w:p w14:paraId="493C7888" w14:textId="77777777" w:rsidR="00F34836" w:rsidRDefault="00F34836" w:rsidP="006A6B4B">
      <w:pPr>
        <w:spacing w:line="360" w:lineRule="auto"/>
        <w:jc w:val="both"/>
        <w:rPr>
          <w:rFonts w:ascii="Arial" w:hAnsi="Arial" w:cs="Arial"/>
          <w:b/>
          <w:lang w:val="en-US"/>
        </w:rPr>
      </w:pPr>
    </w:p>
    <w:p w14:paraId="033E6C41" w14:textId="77777777" w:rsidR="00361764" w:rsidRPr="00020D37" w:rsidRDefault="00361764" w:rsidP="006A6B4B">
      <w:pPr>
        <w:spacing w:line="360" w:lineRule="auto"/>
        <w:jc w:val="both"/>
        <w:rPr>
          <w:rFonts w:ascii="Arial" w:hAnsi="Arial" w:cs="Arial"/>
          <w:lang w:val="en-US"/>
        </w:rPr>
      </w:pPr>
      <w:r w:rsidRPr="00E34E72">
        <w:rPr>
          <w:rFonts w:ascii="Arial" w:hAnsi="Arial" w:cs="Arial"/>
          <w:b/>
          <w:lang w:val="en-US"/>
        </w:rPr>
        <w:lastRenderedPageBreak/>
        <w:t xml:space="preserve">(b) </w:t>
      </w:r>
      <w:r w:rsidR="009C263E" w:rsidRPr="00E34E72">
        <w:rPr>
          <w:rFonts w:ascii="Arial" w:hAnsi="Arial" w:cs="Arial"/>
          <w:b/>
          <w:lang w:val="en-US"/>
        </w:rPr>
        <w:t>T</w:t>
      </w:r>
      <w:r w:rsidRPr="00E34E72">
        <w:rPr>
          <w:rFonts w:ascii="Arial" w:hAnsi="Arial" w:cs="Arial"/>
          <w:b/>
          <w:lang w:val="en-US"/>
        </w:rPr>
        <w:t xml:space="preserve">he identification of gaps, areas requiring urgent </w:t>
      </w:r>
      <w:r w:rsidR="001D3D28" w:rsidRPr="00E34E72">
        <w:rPr>
          <w:rFonts w:ascii="Arial" w:hAnsi="Arial" w:cs="Arial"/>
          <w:b/>
          <w:lang w:val="en-US"/>
        </w:rPr>
        <w:t>attention, risks and challenges</w:t>
      </w:r>
    </w:p>
    <w:p w14:paraId="0CCBB662" w14:textId="77777777" w:rsidR="00020D37" w:rsidRDefault="00E35956" w:rsidP="006A6B4B">
      <w:pPr>
        <w:spacing w:line="360" w:lineRule="auto"/>
        <w:jc w:val="both"/>
        <w:rPr>
          <w:rFonts w:ascii="Arial" w:hAnsi="Arial" w:cs="Arial"/>
          <w:lang w:val="en-US"/>
        </w:rPr>
      </w:pPr>
      <w:r w:rsidRPr="00E34E72">
        <w:rPr>
          <w:rFonts w:ascii="Arial" w:hAnsi="Arial" w:cs="Arial"/>
          <w:lang w:val="en-US"/>
        </w:rPr>
        <w:t>From a migration</w:t>
      </w:r>
      <w:r w:rsidR="00E168D0" w:rsidRPr="00E34E72">
        <w:rPr>
          <w:rFonts w:ascii="Arial" w:hAnsi="Arial" w:cs="Arial"/>
          <w:lang w:val="en-US"/>
        </w:rPr>
        <w:t>-</w:t>
      </w:r>
      <w:r w:rsidR="004B3FA6" w:rsidRPr="00E34E72">
        <w:rPr>
          <w:rFonts w:ascii="Arial" w:hAnsi="Arial" w:cs="Arial"/>
          <w:lang w:val="en-US"/>
        </w:rPr>
        <w:t xml:space="preserve">policy </w:t>
      </w:r>
      <w:r w:rsidR="004C20D4" w:rsidRPr="00E34E72">
        <w:rPr>
          <w:rFonts w:ascii="Arial" w:hAnsi="Arial" w:cs="Arial"/>
          <w:lang w:val="en-US"/>
        </w:rPr>
        <w:t>perspective</w:t>
      </w:r>
      <w:r w:rsidRPr="00E34E72">
        <w:rPr>
          <w:rFonts w:ascii="Arial" w:hAnsi="Arial" w:cs="Arial"/>
          <w:lang w:val="en-US"/>
        </w:rPr>
        <w:t>, the needs and contributions of migrants are not yet taken sufficiently into account when designing and implementing development strategies and programs</w:t>
      </w:r>
      <w:r w:rsidR="007C51CB" w:rsidRPr="00E34E72">
        <w:rPr>
          <w:rFonts w:ascii="Arial" w:hAnsi="Arial" w:cs="Arial"/>
          <w:lang w:val="en-US"/>
        </w:rPr>
        <w:t>. On the one hand, migrants often find themselves in precarious situations and thus deserve special attention in the framework of action on</w:t>
      </w:r>
      <w:r w:rsidRPr="00E34E72">
        <w:rPr>
          <w:rFonts w:ascii="Arial" w:hAnsi="Arial" w:cs="Arial"/>
          <w:lang w:val="en-US"/>
        </w:rPr>
        <w:t xml:space="preserve"> poverty</w:t>
      </w:r>
      <w:r w:rsidR="007C51CB" w:rsidRPr="00E34E72">
        <w:rPr>
          <w:rFonts w:ascii="Arial" w:hAnsi="Arial" w:cs="Arial"/>
          <w:lang w:val="en-US"/>
        </w:rPr>
        <w:t xml:space="preserve"> alleviation and social protection</w:t>
      </w:r>
      <w:r w:rsidRPr="00E34E72">
        <w:rPr>
          <w:rFonts w:ascii="Arial" w:hAnsi="Arial" w:cs="Arial"/>
          <w:lang w:val="en-US"/>
        </w:rPr>
        <w:t xml:space="preserve">, </w:t>
      </w:r>
      <w:r w:rsidR="007C51CB" w:rsidRPr="00E34E72">
        <w:rPr>
          <w:rFonts w:ascii="Arial" w:hAnsi="Arial" w:cs="Arial"/>
          <w:lang w:val="en-US"/>
        </w:rPr>
        <w:t xml:space="preserve">access to </w:t>
      </w:r>
      <w:r w:rsidRPr="00E34E72">
        <w:rPr>
          <w:rFonts w:ascii="Arial" w:hAnsi="Arial" w:cs="Arial"/>
          <w:lang w:val="en-US"/>
        </w:rPr>
        <w:t>health</w:t>
      </w:r>
      <w:r w:rsidR="007C51CB" w:rsidRPr="00E34E72">
        <w:rPr>
          <w:rFonts w:ascii="Arial" w:hAnsi="Arial" w:cs="Arial"/>
          <w:lang w:val="en-US"/>
        </w:rPr>
        <w:t xml:space="preserve"> care</w:t>
      </w:r>
      <w:r w:rsidRPr="00E34E72">
        <w:rPr>
          <w:rFonts w:ascii="Arial" w:hAnsi="Arial" w:cs="Arial"/>
          <w:lang w:val="en-US"/>
        </w:rPr>
        <w:t xml:space="preserve"> and gender</w:t>
      </w:r>
      <w:r w:rsidR="007C51CB" w:rsidRPr="00E34E72">
        <w:rPr>
          <w:rFonts w:ascii="Arial" w:hAnsi="Arial" w:cs="Arial"/>
          <w:lang w:val="en-US"/>
        </w:rPr>
        <w:t xml:space="preserve"> equality. On the other hand, migrants can make important contributions via knowledge and/or remittances transfers in the areas of health, em</w:t>
      </w:r>
      <w:r w:rsidR="004C20D4" w:rsidRPr="00E34E72">
        <w:rPr>
          <w:rFonts w:ascii="Arial" w:hAnsi="Arial" w:cs="Arial"/>
          <w:lang w:val="en-US"/>
        </w:rPr>
        <w:t>powerment of women, innovation and intercultural competencies.</w:t>
      </w:r>
      <w:r w:rsidR="001D3D28" w:rsidRPr="00E34E72">
        <w:rPr>
          <w:rFonts w:ascii="Arial" w:hAnsi="Arial" w:cs="Arial"/>
          <w:lang w:val="en-US"/>
        </w:rPr>
        <w:t xml:space="preserve"> Inspiration</w:t>
      </w:r>
      <w:r w:rsidR="000B5C7A" w:rsidRPr="00E34E72">
        <w:rPr>
          <w:rFonts w:ascii="Arial" w:hAnsi="Arial" w:cs="Arial"/>
          <w:lang w:val="en-US"/>
        </w:rPr>
        <w:t xml:space="preserve"> on</w:t>
      </w:r>
      <w:r w:rsidR="001D3D28" w:rsidRPr="00E34E72">
        <w:rPr>
          <w:rFonts w:ascii="Arial" w:hAnsi="Arial" w:cs="Arial"/>
          <w:lang w:val="en-US"/>
        </w:rPr>
        <w:t xml:space="preserve"> how this could be achieved concretely </w:t>
      </w:r>
      <w:r w:rsidR="000B5C7A" w:rsidRPr="00E34E72">
        <w:rPr>
          <w:rFonts w:ascii="Arial" w:hAnsi="Arial" w:cs="Arial"/>
          <w:lang w:val="en-US"/>
        </w:rPr>
        <w:t xml:space="preserve">based on the long-standing expertise of GFMD </w:t>
      </w:r>
      <w:r w:rsidR="001D3D28" w:rsidRPr="00E34E72">
        <w:rPr>
          <w:rFonts w:ascii="Arial" w:hAnsi="Arial" w:cs="Arial"/>
          <w:lang w:val="en-US"/>
        </w:rPr>
        <w:t>can be found in the next chapter (lessons learn</w:t>
      </w:r>
      <w:r w:rsidR="000A1DB2" w:rsidRPr="00E34E72">
        <w:rPr>
          <w:rFonts w:ascii="Arial" w:hAnsi="Arial" w:cs="Arial"/>
          <w:lang w:val="en-US"/>
        </w:rPr>
        <w:t>ed</w:t>
      </w:r>
      <w:r w:rsidR="001D3D28" w:rsidRPr="00E34E72">
        <w:rPr>
          <w:rFonts w:ascii="Arial" w:hAnsi="Arial" w:cs="Arial"/>
          <w:lang w:val="en-US"/>
        </w:rPr>
        <w:t>).</w:t>
      </w:r>
      <w:r w:rsidR="004F4D87" w:rsidRPr="00E34E72">
        <w:rPr>
          <w:rFonts w:ascii="Arial" w:hAnsi="Arial" w:cs="Arial"/>
          <w:lang w:val="en-US"/>
        </w:rPr>
        <w:t xml:space="preserve"> </w:t>
      </w:r>
      <w:r w:rsidR="00D4699B" w:rsidRPr="00E34E72">
        <w:rPr>
          <w:rFonts w:ascii="Arial" w:hAnsi="Arial" w:cs="Arial"/>
          <w:lang w:val="en-US"/>
        </w:rPr>
        <w:t>Looking at migration data as outlined in Goal 17.18, there is a clear need of data collection and analysis when it comes to migrant contributions to the economic development in countries of destination. Moreover, there is a lack of data on the skill level of migrants in receiving countries.</w:t>
      </w:r>
    </w:p>
    <w:p w14:paraId="7E208CFD" w14:textId="77777777" w:rsidR="009C263E" w:rsidRPr="00E34E72" w:rsidRDefault="00210995" w:rsidP="006A6B4B">
      <w:pPr>
        <w:spacing w:line="360" w:lineRule="auto"/>
        <w:jc w:val="both"/>
        <w:rPr>
          <w:rFonts w:ascii="Arial" w:hAnsi="Arial" w:cs="Arial"/>
          <w:lang w:val="en-US"/>
        </w:rPr>
      </w:pPr>
      <w:r w:rsidRPr="00E34E72">
        <w:rPr>
          <w:rFonts w:ascii="Arial" w:hAnsi="Arial" w:cs="Arial"/>
          <w:lang w:val="en-US"/>
        </w:rPr>
        <w:t>A</w:t>
      </w:r>
      <w:r w:rsidR="004C20D4" w:rsidRPr="00E34E72">
        <w:rPr>
          <w:rFonts w:ascii="Arial" w:hAnsi="Arial" w:cs="Arial"/>
          <w:lang w:val="en-US"/>
        </w:rPr>
        <w:t>part from the goals that are at the focus of this years’ HLPF,</w:t>
      </w:r>
      <w:r w:rsidRPr="00E34E72">
        <w:rPr>
          <w:rFonts w:ascii="Arial" w:hAnsi="Arial" w:cs="Arial"/>
          <w:lang w:val="en-US"/>
        </w:rPr>
        <w:t xml:space="preserve"> </w:t>
      </w:r>
      <w:r w:rsidR="004C20D4" w:rsidRPr="00E34E72">
        <w:rPr>
          <w:rFonts w:ascii="Arial" w:hAnsi="Arial" w:cs="Arial"/>
          <w:lang w:val="en-US"/>
        </w:rPr>
        <w:t xml:space="preserve">at </w:t>
      </w:r>
      <w:r w:rsidRPr="00E34E72">
        <w:rPr>
          <w:rFonts w:ascii="Arial" w:hAnsi="Arial" w:cs="Arial"/>
          <w:lang w:val="en-US"/>
        </w:rPr>
        <w:t>the</w:t>
      </w:r>
      <w:r w:rsidR="004C20D4" w:rsidRPr="00E34E72">
        <w:rPr>
          <w:rFonts w:ascii="Arial" w:hAnsi="Arial" w:cs="Arial"/>
          <w:lang w:val="en-US"/>
        </w:rPr>
        <w:t xml:space="preserve"> past GFMD </w:t>
      </w:r>
      <w:r w:rsidR="006D239F" w:rsidRPr="00E34E72">
        <w:rPr>
          <w:rFonts w:ascii="Arial" w:hAnsi="Arial" w:cs="Arial"/>
          <w:lang w:val="en-US"/>
        </w:rPr>
        <w:t>S</w:t>
      </w:r>
      <w:r w:rsidR="004C20D4" w:rsidRPr="00E34E72">
        <w:rPr>
          <w:rFonts w:ascii="Arial" w:hAnsi="Arial" w:cs="Arial"/>
          <w:lang w:val="en-US"/>
        </w:rPr>
        <w:t>ummit in Bangladesh</w:t>
      </w:r>
      <w:r w:rsidRPr="00E34E72">
        <w:rPr>
          <w:rFonts w:ascii="Arial" w:hAnsi="Arial" w:cs="Arial"/>
          <w:lang w:val="en-US"/>
        </w:rPr>
        <w:t xml:space="preserve"> many countries expressed the view that there is currently one </w:t>
      </w:r>
      <w:r w:rsidR="004C20D4" w:rsidRPr="00E34E72">
        <w:rPr>
          <w:rFonts w:ascii="Arial" w:hAnsi="Arial" w:cs="Arial"/>
          <w:lang w:val="en-US"/>
        </w:rPr>
        <w:t>major gap concerning</w:t>
      </w:r>
      <w:r w:rsidRPr="00E34E72">
        <w:rPr>
          <w:rFonts w:ascii="Arial" w:hAnsi="Arial" w:cs="Arial"/>
          <w:lang w:val="en-US"/>
        </w:rPr>
        <w:t xml:space="preserve"> </w:t>
      </w:r>
      <w:r w:rsidRPr="00E34E72">
        <w:rPr>
          <w:rFonts w:ascii="Arial" w:hAnsi="Arial" w:cs="Arial"/>
          <w:u w:val="single"/>
          <w:lang w:val="en-US"/>
        </w:rPr>
        <w:t xml:space="preserve">the protection of un- and low-skilled </w:t>
      </w:r>
      <w:r w:rsidR="002946D0" w:rsidRPr="00E34E72">
        <w:rPr>
          <w:rFonts w:ascii="Arial" w:hAnsi="Arial" w:cs="Arial"/>
          <w:u w:val="single"/>
          <w:lang w:val="en-US"/>
        </w:rPr>
        <w:t>labor</w:t>
      </w:r>
      <w:r w:rsidRPr="00E34E72">
        <w:rPr>
          <w:rFonts w:ascii="Arial" w:hAnsi="Arial" w:cs="Arial"/>
          <w:u w:val="single"/>
          <w:lang w:val="en-US"/>
        </w:rPr>
        <w:t xml:space="preserve"> migrants</w:t>
      </w:r>
      <w:r w:rsidRPr="00E34E72">
        <w:rPr>
          <w:rFonts w:ascii="Arial" w:hAnsi="Arial" w:cs="Arial"/>
          <w:lang w:val="en-US"/>
        </w:rPr>
        <w:t>, despite recent improvements (as for example the ratification of ILO</w:t>
      </w:r>
      <w:r w:rsidR="000B5C7A" w:rsidRPr="00E34E72">
        <w:rPr>
          <w:rFonts w:ascii="Arial" w:hAnsi="Arial" w:cs="Arial"/>
          <w:lang w:val="en-US"/>
        </w:rPr>
        <w:t>’</w:t>
      </w:r>
      <w:r w:rsidRPr="00E34E72">
        <w:rPr>
          <w:rFonts w:ascii="Arial" w:hAnsi="Arial" w:cs="Arial"/>
          <w:lang w:val="en-US"/>
        </w:rPr>
        <w:t xml:space="preserve">s domestic workers convention). Therefore, there is hope that </w:t>
      </w:r>
      <w:r w:rsidR="004C20D4" w:rsidRPr="00E34E72">
        <w:rPr>
          <w:rFonts w:ascii="Arial" w:hAnsi="Arial" w:cs="Arial"/>
          <w:lang w:val="en-US"/>
        </w:rPr>
        <w:t xml:space="preserve">work on SDG 8.8 on </w:t>
      </w:r>
      <w:r w:rsidR="002946D0" w:rsidRPr="00E34E72">
        <w:rPr>
          <w:rFonts w:ascii="Arial" w:hAnsi="Arial" w:cs="Arial"/>
          <w:lang w:val="en-US"/>
        </w:rPr>
        <w:t>labor</w:t>
      </w:r>
      <w:r w:rsidR="004C20D4" w:rsidRPr="00E34E72">
        <w:rPr>
          <w:rFonts w:ascii="Arial" w:hAnsi="Arial" w:cs="Arial"/>
          <w:lang w:val="en-US"/>
        </w:rPr>
        <w:t xml:space="preserve"> rights</w:t>
      </w:r>
      <w:r w:rsidR="00251D58" w:rsidRPr="00E34E72">
        <w:rPr>
          <w:rFonts w:ascii="Arial" w:hAnsi="Arial" w:cs="Arial"/>
          <w:lang w:val="en-US"/>
        </w:rPr>
        <w:t xml:space="preserve"> and in particular </w:t>
      </w:r>
      <w:r w:rsidRPr="00E34E72">
        <w:rPr>
          <w:rFonts w:ascii="Arial" w:hAnsi="Arial" w:cs="Arial"/>
          <w:lang w:val="en-US"/>
        </w:rPr>
        <w:t xml:space="preserve">SDG 10.7 on safe, orderly, regular and responsible migration will improve this situation over the coming years. Additionally, the Global </w:t>
      </w:r>
      <w:r w:rsidR="004B3FA6" w:rsidRPr="00E34E72">
        <w:rPr>
          <w:rFonts w:ascii="Arial" w:hAnsi="Arial" w:cs="Arial"/>
          <w:lang w:val="en-US"/>
        </w:rPr>
        <w:t xml:space="preserve">Compact on Migration (GCM) </w:t>
      </w:r>
      <w:r w:rsidRPr="00E34E72">
        <w:rPr>
          <w:rFonts w:ascii="Arial" w:hAnsi="Arial" w:cs="Arial"/>
          <w:lang w:val="en-US"/>
        </w:rPr>
        <w:t xml:space="preserve">might play a role in this regard. </w:t>
      </w:r>
    </w:p>
    <w:p w14:paraId="41CDD05E" w14:textId="77777777" w:rsidR="00861425" w:rsidRPr="00E34E72" w:rsidRDefault="00361764" w:rsidP="006A6B4B">
      <w:pPr>
        <w:spacing w:line="360" w:lineRule="auto"/>
        <w:jc w:val="both"/>
        <w:rPr>
          <w:rFonts w:ascii="Arial" w:hAnsi="Arial" w:cs="Arial"/>
          <w:b/>
          <w:lang w:val="en-US"/>
        </w:rPr>
      </w:pPr>
      <w:r w:rsidRPr="00E34E72">
        <w:rPr>
          <w:rFonts w:ascii="Arial" w:hAnsi="Arial" w:cs="Arial"/>
          <w:b/>
          <w:lang w:val="en-US"/>
        </w:rPr>
        <w:t xml:space="preserve">(c) </w:t>
      </w:r>
      <w:r w:rsidR="009C263E" w:rsidRPr="00E34E72">
        <w:rPr>
          <w:rFonts w:ascii="Arial" w:hAnsi="Arial" w:cs="Arial"/>
          <w:b/>
          <w:lang w:val="en-US"/>
        </w:rPr>
        <w:t>V</w:t>
      </w:r>
      <w:r w:rsidRPr="00E34E72">
        <w:rPr>
          <w:rFonts w:ascii="Arial" w:hAnsi="Arial" w:cs="Arial"/>
          <w:b/>
          <w:lang w:val="en-US"/>
        </w:rPr>
        <w:t>aluable lessons learned on eradicating poverty and promoting prosperity</w:t>
      </w:r>
    </w:p>
    <w:p w14:paraId="0FBF8AA1" w14:textId="4B05F614" w:rsidR="00D93DDD" w:rsidRPr="00E34E72" w:rsidRDefault="004E1F91" w:rsidP="006A6B4B">
      <w:pPr>
        <w:spacing w:line="360" w:lineRule="auto"/>
        <w:jc w:val="both"/>
        <w:rPr>
          <w:rFonts w:ascii="Arial" w:hAnsi="Arial" w:cs="Arial"/>
          <w:lang w:val="en-US"/>
        </w:rPr>
      </w:pPr>
      <w:r w:rsidRPr="00E34E72">
        <w:rPr>
          <w:rFonts w:ascii="Arial" w:hAnsi="Arial" w:cs="Arial"/>
          <w:lang w:val="en-US"/>
        </w:rPr>
        <w:t>When it comes to the role the GFMD can play in the review and implementation of particular migration-related SDGs, the</w:t>
      </w:r>
      <w:r w:rsidR="000A1DB2" w:rsidRPr="00E34E72">
        <w:rPr>
          <w:rFonts w:ascii="Arial" w:hAnsi="Arial" w:cs="Arial"/>
          <w:lang w:val="en-US"/>
        </w:rPr>
        <w:t xml:space="preserve"> </w:t>
      </w:r>
      <w:r w:rsidR="00D3297E" w:rsidRPr="00E34E72">
        <w:rPr>
          <w:rFonts w:ascii="Arial" w:hAnsi="Arial" w:cs="Arial"/>
          <w:lang w:val="en-US"/>
        </w:rPr>
        <w:t xml:space="preserve">Forum </w:t>
      </w:r>
      <w:r w:rsidR="000A1DB2" w:rsidRPr="00E34E72">
        <w:rPr>
          <w:rFonts w:ascii="Arial" w:hAnsi="Arial" w:cs="Arial"/>
          <w:lang w:val="en-US"/>
        </w:rPr>
        <w:t xml:space="preserve">in the past has already dealt with many issues, which are to some extent encapsulated in today’s </w:t>
      </w:r>
      <w:r w:rsidR="009E267F" w:rsidRPr="00E34E72">
        <w:rPr>
          <w:rFonts w:ascii="Arial" w:hAnsi="Arial" w:cs="Arial"/>
          <w:lang w:val="en-US"/>
        </w:rPr>
        <w:t>2030 Agenda</w:t>
      </w:r>
      <w:r w:rsidR="000A1DB2" w:rsidRPr="00E34E72">
        <w:rPr>
          <w:rFonts w:ascii="Arial" w:hAnsi="Arial" w:cs="Arial"/>
          <w:lang w:val="en-US"/>
        </w:rPr>
        <w:t xml:space="preserve">. It is a </w:t>
      </w:r>
      <w:r w:rsidR="000A1DB2" w:rsidRPr="00E34E72">
        <w:rPr>
          <w:rFonts w:ascii="Arial" w:hAnsi="Arial" w:cs="Arial"/>
          <w:b/>
          <w:lang w:val="en-US"/>
        </w:rPr>
        <w:t xml:space="preserve">firm objective of GFMD to relate </w:t>
      </w:r>
      <w:r w:rsidR="009E267F" w:rsidRPr="00E34E72">
        <w:rPr>
          <w:rFonts w:ascii="Arial" w:hAnsi="Arial" w:cs="Arial"/>
          <w:b/>
          <w:lang w:val="en-US"/>
        </w:rPr>
        <w:t>future</w:t>
      </w:r>
      <w:r w:rsidR="000A1DB2" w:rsidRPr="00E34E72">
        <w:rPr>
          <w:rFonts w:ascii="Arial" w:hAnsi="Arial" w:cs="Arial"/>
          <w:b/>
          <w:lang w:val="en-US"/>
        </w:rPr>
        <w:t xml:space="preserve"> summits to the 2030 Agenda-process</w:t>
      </w:r>
      <w:r w:rsidR="000A1DB2" w:rsidRPr="00E34E72">
        <w:rPr>
          <w:rFonts w:ascii="Arial" w:hAnsi="Arial" w:cs="Arial"/>
          <w:lang w:val="en-US"/>
        </w:rPr>
        <w:t xml:space="preserve"> by linking thematically not only the roundtables but all GFMD formats including the GFMD common space closer to the commitments in the 2030 Agenda. This way</w:t>
      </w:r>
      <w:r w:rsidR="009E267F" w:rsidRPr="00E34E72">
        <w:rPr>
          <w:rFonts w:ascii="Arial" w:hAnsi="Arial" w:cs="Arial"/>
          <w:lang w:val="en-US"/>
        </w:rPr>
        <w:t>,</w:t>
      </w:r>
      <w:r w:rsidR="000A1DB2" w:rsidRPr="00E34E72">
        <w:rPr>
          <w:rFonts w:ascii="Arial" w:hAnsi="Arial" w:cs="Arial"/>
          <w:lang w:val="en-US"/>
        </w:rPr>
        <w:t xml:space="preserve"> the valuable inputs produced by GFMD can be brought together with the specific focus on migration-related SDGs. </w:t>
      </w:r>
      <w:r w:rsidR="00BE41FF" w:rsidRPr="00E34E72">
        <w:rPr>
          <w:rFonts w:ascii="Arial" w:hAnsi="Arial" w:cs="Arial"/>
          <w:lang w:val="en-US"/>
        </w:rPr>
        <w:t>For example, Roundtable 1.2</w:t>
      </w:r>
      <w:r w:rsidR="000A1DB2" w:rsidRPr="00E34E72">
        <w:rPr>
          <w:rFonts w:ascii="Arial" w:hAnsi="Arial" w:cs="Arial"/>
          <w:lang w:val="en-US"/>
        </w:rPr>
        <w:t xml:space="preserve"> of the 2017 GFMD Summit in Berlin will be entirely dedicated to questions related to the</w:t>
      </w:r>
      <w:r w:rsidR="009E267F" w:rsidRPr="00E34E72">
        <w:rPr>
          <w:rFonts w:ascii="Arial" w:hAnsi="Arial" w:cs="Arial"/>
          <w:lang w:val="en-US"/>
        </w:rPr>
        <w:t xml:space="preserve"> 2030</w:t>
      </w:r>
      <w:r w:rsidR="000A1DB2" w:rsidRPr="00E34E72">
        <w:rPr>
          <w:rFonts w:ascii="Arial" w:hAnsi="Arial" w:cs="Arial"/>
          <w:lang w:val="en-US"/>
        </w:rPr>
        <w:t xml:space="preserve"> Agenda. </w:t>
      </w:r>
      <w:r w:rsidR="00FF5552" w:rsidRPr="00E34E72">
        <w:rPr>
          <w:rFonts w:ascii="Arial" w:hAnsi="Arial" w:cs="Arial"/>
          <w:lang w:val="en-US"/>
        </w:rPr>
        <w:t xml:space="preserve">All roundtable co-chairs of the 2017 GFMD are invited to point out explicit as well as implicit references to the </w:t>
      </w:r>
      <w:r w:rsidR="00D24B28">
        <w:rPr>
          <w:rFonts w:ascii="Arial" w:hAnsi="Arial" w:cs="Arial"/>
          <w:lang w:val="en-US"/>
        </w:rPr>
        <w:t>implementation of the migration</w:t>
      </w:r>
      <w:r w:rsidR="00FF5552" w:rsidRPr="00E34E72">
        <w:rPr>
          <w:rFonts w:ascii="Arial" w:hAnsi="Arial" w:cs="Arial"/>
          <w:lang w:val="en-US"/>
        </w:rPr>
        <w:t>-related goals.</w:t>
      </w:r>
      <w:r w:rsidR="00FF5552" w:rsidRPr="00E34E72" w:rsidDel="00FF5552">
        <w:rPr>
          <w:rFonts w:ascii="Arial" w:hAnsi="Arial" w:cs="Arial"/>
          <w:lang w:val="en-US"/>
        </w:rPr>
        <w:t xml:space="preserve"> </w:t>
      </w:r>
      <w:r w:rsidR="00861425" w:rsidRPr="00E34E72">
        <w:rPr>
          <w:rFonts w:ascii="Arial" w:hAnsi="Arial" w:cs="Arial"/>
          <w:lang w:val="en-US"/>
        </w:rPr>
        <w:t xml:space="preserve">In order </w:t>
      </w:r>
      <w:r w:rsidR="00845877" w:rsidRPr="00E34E72">
        <w:rPr>
          <w:rFonts w:ascii="Arial" w:hAnsi="Arial" w:cs="Arial"/>
          <w:lang w:val="en-US"/>
        </w:rPr>
        <w:t>to make use of the</w:t>
      </w:r>
      <w:r w:rsidR="00861425" w:rsidRPr="00E34E72">
        <w:rPr>
          <w:rFonts w:ascii="Arial" w:hAnsi="Arial" w:cs="Arial"/>
          <w:lang w:val="en-US"/>
        </w:rPr>
        <w:t xml:space="preserve"> long-standing experience of GFMD as the largest</w:t>
      </w:r>
      <w:r w:rsidR="00CF1526" w:rsidRPr="00E34E72">
        <w:rPr>
          <w:rFonts w:ascii="Arial" w:hAnsi="Arial" w:cs="Arial"/>
          <w:lang w:val="en-US"/>
        </w:rPr>
        <w:t xml:space="preserve"> informal</w:t>
      </w:r>
      <w:r w:rsidR="00861425" w:rsidRPr="00E34E72">
        <w:rPr>
          <w:rFonts w:ascii="Arial" w:hAnsi="Arial" w:cs="Arial"/>
          <w:lang w:val="en-US"/>
        </w:rPr>
        <w:t xml:space="preserve"> global forum </w:t>
      </w:r>
      <w:r w:rsidR="00D24B28">
        <w:rPr>
          <w:rFonts w:ascii="Arial" w:hAnsi="Arial" w:cs="Arial"/>
          <w:lang w:val="en-US"/>
        </w:rPr>
        <w:t xml:space="preserve">outside UN </w:t>
      </w:r>
      <w:r w:rsidR="00CF1526" w:rsidRPr="00E34E72">
        <w:rPr>
          <w:rFonts w:ascii="Arial" w:hAnsi="Arial" w:cs="Arial"/>
          <w:lang w:val="en-US"/>
        </w:rPr>
        <w:t xml:space="preserve">structures </w:t>
      </w:r>
      <w:r w:rsidR="00861425" w:rsidRPr="00E34E72">
        <w:rPr>
          <w:rFonts w:ascii="Arial" w:hAnsi="Arial" w:cs="Arial"/>
          <w:lang w:val="en-US"/>
        </w:rPr>
        <w:t>through which states exchange their views on migration and development, th</w:t>
      </w:r>
      <w:r w:rsidR="001513DC" w:rsidRPr="00E34E72">
        <w:rPr>
          <w:rFonts w:ascii="Arial" w:hAnsi="Arial" w:cs="Arial"/>
          <w:lang w:val="en-US"/>
        </w:rPr>
        <w:t>is</w:t>
      </w:r>
      <w:r w:rsidR="00861425" w:rsidRPr="00E34E72">
        <w:rPr>
          <w:rFonts w:ascii="Arial" w:hAnsi="Arial" w:cs="Arial"/>
          <w:lang w:val="en-US"/>
        </w:rPr>
        <w:t xml:space="preserve"> report</w:t>
      </w:r>
      <w:r w:rsidR="00384BF5" w:rsidRPr="00E34E72">
        <w:rPr>
          <w:rFonts w:ascii="Arial" w:hAnsi="Arial" w:cs="Arial"/>
          <w:lang w:val="en-US"/>
        </w:rPr>
        <w:t xml:space="preserve"> looks into the question</w:t>
      </w:r>
      <w:r w:rsidR="00992793" w:rsidRPr="00E34E72">
        <w:rPr>
          <w:rFonts w:ascii="Arial" w:hAnsi="Arial" w:cs="Arial"/>
          <w:lang w:val="en-US"/>
        </w:rPr>
        <w:t xml:space="preserve"> of</w:t>
      </w:r>
      <w:r w:rsidR="00384BF5" w:rsidRPr="00E34E72">
        <w:rPr>
          <w:rFonts w:ascii="Arial" w:hAnsi="Arial" w:cs="Arial"/>
          <w:lang w:val="en-US"/>
        </w:rPr>
        <w:t xml:space="preserve"> how past GFMD summits have framed development-oriented migration policies.</w:t>
      </w:r>
      <w:r w:rsidR="00470710" w:rsidRPr="00E34E72">
        <w:rPr>
          <w:rFonts w:ascii="Arial" w:hAnsi="Arial" w:cs="Arial"/>
          <w:lang w:val="en-US"/>
        </w:rPr>
        <w:t xml:space="preserve"> </w:t>
      </w:r>
      <w:r w:rsidR="00D93DDD" w:rsidRPr="00E34E72">
        <w:rPr>
          <w:rFonts w:ascii="Arial" w:hAnsi="Arial" w:cs="Arial"/>
          <w:lang w:val="en-US"/>
        </w:rPr>
        <w:t xml:space="preserve">For the purpose of showcasing the links between </w:t>
      </w:r>
      <w:r w:rsidR="00D93DDD" w:rsidRPr="00E34E72">
        <w:rPr>
          <w:rFonts w:ascii="Arial" w:hAnsi="Arial" w:cs="Arial"/>
          <w:lang w:val="en-US"/>
        </w:rPr>
        <w:lastRenderedPageBreak/>
        <w:t>migration and the 2030 Agenda, with a focus on the 2017 HLPF session and the addressed goals, the report clusters GFMD</w:t>
      </w:r>
      <w:r w:rsidR="00D24B28">
        <w:rPr>
          <w:rFonts w:ascii="Arial" w:hAnsi="Arial" w:cs="Arial"/>
          <w:lang w:val="en-US"/>
        </w:rPr>
        <w:t>’</w:t>
      </w:r>
      <w:r w:rsidR="00D93DDD" w:rsidRPr="00E34E72">
        <w:rPr>
          <w:rFonts w:ascii="Arial" w:hAnsi="Arial" w:cs="Arial"/>
          <w:lang w:val="en-US"/>
        </w:rPr>
        <w:t>s input according the following</w:t>
      </w:r>
      <w:r w:rsidR="00470710" w:rsidRPr="00E34E72">
        <w:rPr>
          <w:rFonts w:ascii="Arial" w:hAnsi="Arial" w:cs="Arial"/>
          <w:lang w:val="en-US"/>
        </w:rPr>
        <w:t>, non-exhaustive</w:t>
      </w:r>
      <w:r w:rsidR="00D93DDD" w:rsidRPr="00E34E72">
        <w:rPr>
          <w:rFonts w:ascii="Arial" w:hAnsi="Arial" w:cs="Arial"/>
          <w:lang w:val="en-US"/>
        </w:rPr>
        <w:t xml:space="preserve"> thematic areas:</w:t>
      </w:r>
    </w:p>
    <w:p w14:paraId="42360C38" w14:textId="77777777" w:rsidR="001513DC" w:rsidRPr="00E34E72" w:rsidRDefault="00DF389A" w:rsidP="006A6B4B">
      <w:pPr>
        <w:pStyle w:val="ListParagraph"/>
        <w:numPr>
          <w:ilvl w:val="0"/>
          <w:numId w:val="31"/>
        </w:numPr>
        <w:autoSpaceDE w:val="0"/>
        <w:autoSpaceDN w:val="0"/>
        <w:adjustRightInd w:val="0"/>
        <w:spacing w:after="0" w:line="360" w:lineRule="auto"/>
        <w:jc w:val="both"/>
        <w:rPr>
          <w:rFonts w:ascii="Arial" w:hAnsi="Arial" w:cs="Arial"/>
          <w:lang w:val="en-US"/>
        </w:rPr>
      </w:pPr>
      <w:r w:rsidRPr="00E34E72">
        <w:rPr>
          <w:rFonts w:ascii="Arial" w:hAnsi="Arial" w:cs="Arial"/>
          <w:b/>
          <w:lang w:val="en-US"/>
        </w:rPr>
        <w:t>Remittance</w:t>
      </w:r>
      <w:r w:rsidR="00992793" w:rsidRPr="00E34E72">
        <w:rPr>
          <w:rFonts w:ascii="Arial" w:hAnsi="Arial" w:cs="Arial"/>
          <w:b/>
          <w:lang w:val="en-US"/>
        </w:rPr>
        <w:t>s</w:t>
      </w:r>
      <w:r w:rsidR="00384BF5" w:rsidRPr="00E34E72">
        <w:rPr>
          <w:rFonts w:ascii="Arial" w:hAnsi="Arial" w:cs="Arial"/>
          <w:lang w:val="en-US"/>
        </w:rPr>
        <w:t>:</w:t>
      </w:r>
      <w:r w:rsidR="004F4D87" w:rsidRPr="00E34E72">
        <w:rPr>
          <w:rFonts w:ascii="Arial" w:hAnsi="Arial" w:cs="Arial"/>
          <w:lang w:val="en-US"/>
        </w:rPr>
        <w:t xml:space="preserve"> </w:t>
      </w:r>
      <w:r w:rsidR="00384BF5" w:rsidRPr="00E34E72">
        <w:rPr>
          <w:rFonts w:ascii="Arial" w:hAnsi="Arial" w:cs="Arial"/>
          <w:lang w:val="en-US"/>
        </w:rPr>
        <w:t>This area not only covers t</w:t>
      </w:r>
      <w:r w:rsidRPr="00E34E72">
        <w:rPr>
          <w:rFonts w:ascii="Arial" w:hAnsi="Arial" w:cs="Arial"/>
          <w:lang w:val="en-US"/>
        </w:rPr>
        <w:t xml:space="preserve">ransfer channels and </w:t>
      </w:r>
      <w:r w:rsidR="00384BF5" w:rsidRPr="00E34E72">
        <w:rPr>
          <w:rFonts w:ascii="Arial" w:hAnsi="Arial" w:cs="Arial"/>
          <w:lang w:val="en-US"/>
        </w:rPr>
        <w:t>remittances costs but also</w:t>
      </w:r>
      <w:r w:rsidRPr="00E34E72">
        <w:rPr>
          <w:rFonts w:ascii="Arial" w:hAnsi="Arial" w:cs="Arial"/>
          <w:lang w:val="en-US"/>
        </w:rPr>
        <w:t xml:space="preserve"> remittances-based financial products and financial inclusion through remittances</w:t>
      </w:r>
      <w:r w:rsidR="00384BF5" w:rsidRPr="00E34E72">
        <w:rPr>
          <w:rFonts w:ascii="Arial" w:hAnsi="Arial" w:cs="Arial"/>
          <w:lang w:val="en-US"/>
        </w:rPr>
        <w:t>.</w:t>
      </w:r>
    </w:p>
    <w:p w14:paraId="2E7F8FFE" w14:textId="77777777" w:rsidR="00020D37" w:rsidRDefault="00DF389A" w:rsidP="006A6B4B">
      <w:pPr>
        <w:pStyle w:val="ListParagraph"/>
        <w:numPr>
          <w:ilvl w:val="0"/>
          <w:numId w:val="31"/>
        </w:numPr>
        <w:autoSpaceDE w:val="0"/>
        <w:autoSpaceDN w:val="0"/>
        <w:adjustRightInd w:val="0"/>
        <w:spacing w:after="0" w:line="360" w:lineRule="auto"/>
        <w:jc w:val="both"/>
        <w:rPr>
          <w:rFonts w:ascii="Arial" w:hAnsi="Arial" w:cs="Arial"/>
          <w:lang w:val="en-US"/>
        </w:rPr>
      </w:pPr>
      <w:r w:rsidRPr="00E34E72">
        <w:rPr>
          <w:rFonts w:ascii="Arial" w:hAnsi="Arial" w:cs="Arial"/>
          <w:b/>
          <w:lang w:val="en-US"/>
        </w:rPr>
        <w:t>Diaspora</w:t>
      </w:r>
      <w:r w:rsidR="00384BF5" w:rsidRPr="00E34E72">
        <w:rPr>
          <w:rFonts w:ascii="Arial" w:hAnsi="Arial" w:cs="Arial"/>
          <w:lang w:val="en-US"/>
        </w:rPr>
        <w:t>: This area focuses on</w:t>
      </w:r>
      <w:r w:rsidRPr="00E34E72">
        <w:rPr>
          <w:rFonts w:ascii="Arial" w:hAnsi="Arial" w:cs="Arial"/>
          <w:lang w:val="en-US"/>
        </w:rPr>
        <w:t xml:space="preserve"> cooperation</w:t>
      </w:r>
      <w:r w:rsidR="00384BF5" w:rsidRPr="00E34E72">
        <w:rPr>
          <w:rFonts w:ascii="Arial" w:hAnsi="Arial" w:cs="Arial"/>
          <w:lang w:val="en-US"/>
        </w:rPr>
        <w:t xml:space="preserve"> between </w:t>
      </w:r>
      <w:r w:rsidR="009B563F" w:rsidRPr="00E34E72">
        <w:rPr>
          <w:rFonts w:ascii="Arial" w:hAnsi="Arial" w:cs="Arial"/>
          <w:lang w:val="en-US"/>
        </w:rPr>
        <w:t xml:space="preserve">governmental entities (on national, provincial and municipal level) </w:t>
      </w:r>
      <w:r w:rsidR="00384BF5" w:rsidRPr="00E34E72">
        <w:rPr>
          <w:rFonts w:ascii="Arial" w:hAnsi="Arial" w:cs="Arial"/>
          <w:lang w:val="en-US"/>
        </w:rPr>
        <w:t>and diaspora</w:t>
      </w:r>
      <w:r w:rsidR="009B563F" w:rsidRPr="00E34E72">
        <w:rPr>
          <w:rFonts w:ascii="Arial" w:hAnsi="Arial" w:cs="Arial"/>
          <w:lang w:val="en-US"/>
        </w:rPr>
        <w:t xml:space="preserve"> groups</w:t>
      </w:r>
      <w:r w:rsidRPr="00E34E72">
        <w:rPr>
          <w:rFonts w:ascii="Arial" w:hAnsi="Arial" w:cs="Arial"/>
          <w:lang w:val="en-US"/>
        </w:rPr>
        <w:t xml:space="preserve">, particularly </w:t>
      </w:r>
      <w:r w:rsidR="00384BF5" w:rsidRPr="00E34E72">
        <w:rPr>
          <w:rFonts w:ascii="Arial" w:hAnsi="Arial" w:cs="Arial"/>
          <w:lang w:val="en-US"/>
        </w:rPr>
        <w:t xml:space="preserve">on </w:t>
      </w:r>
      <w:r w:rsidRPr="00E34E72">
        <w:rPr>
          <w:rFonts w:ascii="Arial" w:hAnsi="Arial" w:cs="Arial"/>
          <w:lang w:val="en-US"/>
        </w:rPr>
        <w:t>fostering dialogue and non-profit engagement</w:t>
      </w:r>
      <w:r w:rsidR="00F85724" w:rsidRPr="00E34E72">
        <w:rPr>
          <w:rFonts w:ascii="Arial" w:hAnsi="Arial" w:cs="Arial"/>
          <w:lang w:val="en-US"/>
        </w:rPr>
        <w:t>,</w:t>
      </w:r>
      <w:r w:rsidR="00FF5552" w:rsidRPr="00E34E72">
        <w:rPr>
          <w:rFonts w:ascii="Arial" w:hAnsi="Arial" w:cs="Arial"/>
          <w:lang w:val="en-US"/>
        </w:rPr>
        <w:t xml:space="preserve"> including the possibility of diaspora groups’ representatives to participate in Parliaments or consultative bodies to the governments in countries of origin.</w:t>
      </w:r>
    </w:p>
    <w:p w14:paraId="6EC3E055" w14:textId="0A4E2E20" w:rsidR="001513DC" w:rsidRPr="00E34E72" w:rsidRDefault="00D24B28" w:rsidP="006A6B4B">
      <w:pPr>
        <w:pStyle w:val="ListParagraph"/>
        <w:numPr>
          <w:ilvl w:val="0"/>
          <w:numId w:val="31"/>
        </w:numPr>
        <w:autoSpaceDE w:val="0"/>
        <w:autoSpaceDN w:val="0"/>
        <w:adjustRightInd w:val="0"/>
        <w:spacing w:after="0" w:line="360" w:lineRule="auto"/>
        <w:jc w:val="both"/>
        <w:rPr>
          <w:rFonts w:ascii="Arial" w:hAnsi="Arial" w:cs="Arial"/>
          <w:lang w:val="en-US"/>
        </w:rPr>
      </w:pPr>
      <w:r>
        <w:rPr>
          <w:rFonts w:ascii="Arial" w:hAnsi="Arial" w:cs="Arial"/>
          <w:b/>
          <w:lang w:val="en-US"/>
        </w:rPr>
        <w:t>Private S</w:t>
      </w:r>
      <w:r w:rsidR="001513DC" w:rsidRPr="00E34E72">
        <w:rPr>
          <w:rFonts w:ascii="Arial" w:hAnsi="Arial" w:cs="Arial"/>
          <w:b/>
          <w:lang w:val="en-US"/>
        </w:rPr>
        <w:t>ecto</w:t>
      </w:r>
      <w:r>
        <w:rPr>
          <w:rFonts w:ascii="Arial" w:hAnsi="Arial" w:cs="Arial"/>
          <w:b/>
          <w:lang w:val="en-US"/>
        </w:rPr>
        <w:t>r Development through M</w:t>
      </w:r>
      <w:r w:rsidR="00384BF5" w:rsidRPr="00E34E72">
        <w:rPr>
          <w:rFonts w:ascii="Arial" w:hAnsi="Arial" w:cs="Arial"/>
          <w:b/>
          <w:lang w:val="en-US"/>
        </w:rPr>
        <w:t>igration</w:t>
      </w:r>
      <w:r w:rsidR="00384BF5" w:rsidRPr="00E34E72">
        <w:rPr>
          <w:rFonts w:ascii="Arial" w:hAnsi="Arial" w:cs="Arial"/>
          <w:lang w:val="en-US"/>
        </w:rPr>
        <w:t>:</w:t>
      </w:r>
      <w:r w:rsidR="004F4D87" w:rsidRPr="00E34E72">
        <w:rPr>
          <w:rFonts w:ascii="Arial" w:hAnsi="Arial" w:cs="Arial"/>
          <w:lang w:val="en-US"/>
        </w:rPr>
        <w:t xml:space="preserve"> </w:t>
      </w:r>
      <w:r w:rsidR="008E304C" w:rsidRPr="00E34E72">
        <w:rPr>
          <w:rFonts w:ascii="Arial" w:hAnsi="Arial" w:cs="Arial"/>
          <w:lang w:val="en-US"/>
        </w:rPr>
        <w:t xml:space="preserve">Migration is an important factor for economic development in both countries of origin and destination. Specific approaches </w:t>
      </w:r>
      <w:r w:rsidR="00805D97" w:rsidRPr="00E34E72">
        <w:rPr>
          <w:rFonts w:ascii="Arial" w:hAnsi="Arial" w:cs="Arial"/>
          <w:lang w:val="en-US"/>
        </w:rPr>
        <w:t xml:space="preserve">seek </w:t>
      </w:r>
      <w:r w:rsidR="008E304C" w:rsidRPr="00E34E72">
        <w:rPr>
          <w:rFonts w:ascii="Arial" w:hAnsi="Arial" w:cs="Arial"/>
          <w:lang w:val="en-US"/>
        </w:rPr>
        <w:t xml:space="preserve">to promote </w:t>
      </w:r>
      <w:r w:rsidR="001513DC" w:rsidRPr="00E34E72">
        <w:rPr>
          <w:rFonts w:ascii="Arial" w:hAnsi="Arial" w:cs="Arial"/>
          <w:lang w:val="en-US"/>
        </w:rPr>
        <w:t xml:space="preserve">migrant entrepreneurship, </w:t>
      </w:r>
      <w:r w:rsidR="008E304C" w:rsidRPr="00E34E72">
        <w:rPr>
          <w:rFonts w:ascii="Arial" w:hAnsi="Arial" w:cs="Arial"/>
          <w:lang w:val="en-US"/>
        </w:rPr>
        <w:t xml:space="preserve">employment promotion through migration, </w:t>
      </w:r>
      <w:r w:rsidR="001513DC" w:rsidRPr="00E34E72">
        <w:rPr>
          <w:rFonts w:ascii="Arial" w:hAnsi="Arial" w:cs="Arial"/>
          <w:lang w:val="en-US"/>
        </w:rPr>
        <w:t xml:space="preserve">innovation </w:t>
      </w:r>
      <w:r w:rsidR="008E304C" w:rsidRPr="00E34E72">
        <w:rPr>
          <w:rFonts w:ascii="Arial" w:hAnsi="Arial" w:cs="Arial"/>
          <w:lang w:val="en-US"/>
        </w:rPr>
        <w:t xml:space="preserve">through knowledge transfer </w:t>
      </w:r>
      <w:r w:rsidR="001513DC" w:rsidRPr="00E34E72">
        <w:rPr>
          <w:rFonts w:ascii="Arial" w:hAnsi="Arial" w:cs="Arial"/>
          <w:lang w:val="en-US"/>
        </w:rPr>
        <w:t>and trade</w:t>
      </w:r>
      <w:r w:rsidR="008E304C" w:rsidRPr="00E34E72">
        <w:rPr>
          <w:rFonts w:ascii="Arial" w:hAnsi="Arial" w:cs="Arial"/>
          <w:lang w:val="en-US"/>
        </w:rPr>
        <w:t xml:space="preserve"> of “nostalgic products”</w:t>
      </w:r>
      <w:r w:rsidR="00992793" w:rsidRPr="00E34E72">
        <w:rPr>
          <w:rFonts w:ascii="Arial" w:hAnsi="Arial" w:cs="Arial"/>
          <w:lang w:val="en-US"/>
        </w:rPr>
        <w:t>.</w:t>
      </w:r>
    </w:p>
    <w:p w14:paraId="6B820DA5" w14:textId="65639391" w:rsidR="001513DC" w:rsidRPr="00E34E72" w:rsidRDefault="002946D0" w:rsidP="006A6B4B">
      <w:pPr>
        <w:pStyle w:val="ListParagraph"/>
        <w:numPr>
          <w:ilvl w:val="0"/>
          <w:numId w:val="31"/>
        </w:numPr>
        <w:autoSpaceDE w:val="0"/>
        <w:autoSpaceDN w:val="0"/>
        <w:adjustRightInd w:val="0"/>
        <w:spacing w:after="0" w:line="360" w:lineRule="auto"/>
        <w:jc w:val="both"/>
        <w:rPr>
          <w:rFonts w:ascii="Arial" w:hAnsi="Arial" w:cs="Arial"/>
          <w:lang w:val="en-US"/>
        </w:rPr>
      </w:pPr>
      <w:r w:rsidRPr="00E34E72">
        <w:rPr>
          <w:rFonts w:ascii="Arial" w:hAnsi="Arial" w:cs="Arial"/>
          <w:b/>
          <w:lang w:val="en-US"/>
        </w:rPr>
        <w:t>Labor</w:t>
      </w:r>
      <w:r w:rsidR="00D24B28">
        <w:rPr>
          <w:rFonts w:ascii="Arial" w:hAnsi="Arial" w:cs="Arial"/>
          <w:b/>
          <w:lang w:val="en-US"/>
        </w:rPr>
        <w:t xml:space="preserve"> M</w:t>
      </w:r>
      <w:r w:rsidR="001513DC" w:rsidRPr="00E34E72">
        <w:rPr>
          <w:rFonts w:ascii="Arial" w:hAnsi="Arial" w:cs="Arial"/>
          <w:b/>
          <w:lang w:val="en-US"/>
        </w:rPr>
        <w:t>igration</w:t>
      </w:r>
      <w:r w:rsidR="00384BF5" w:rsidRPr="00E34E72">
        <w:rPr>
          <w:rFonts w:ascii="Arial" w:hAnsi="Arial" w:cs="Arial"/>
          <w:lang w:val="en-US"/>
        </w:rPr>
        <w:t xml:space="preserve">: There is often a differentiation between </w:t>
      </w:r>
      <w:r w:rsidR="001513DC" w:rsidRPr="00E34E72">
        <w:rPr>
          <w:rFonts w:ascii="Arial" w:hAnsi="Arial" w:cs="Arial"/>
          <w:lang w:val="en-US"/>
        </w:rPr>
        <w:t>low- and high-skilled workers</w:t>
      </w:r>
      <w:r w:rsidR="00384BF5" w:rsidRPr="00E34E72">
        <w:rPr>
          <w:rFonts w:ascii="Arial" w:hAnsi="Arial" w:cs="Arial"/>
          <w:lang w:val="en-US"/>
        </w:rPr>
        <w:t xml:space="preserve">, but the issue remains the same, namely that it requires close cooperation between countries of origin and destination in order to become development-oriented. </w:t>
      </w:r>
    </w:p>
    <w:p w14:paraId="77525B04" w14:textId="2F4758AB" w:rsidR="001513DC" w:rsidRPr="00E34E72" w:rsidRDefault="00D24B28" w:rsidP="006A6B4B">
      <w:pPr>
        <w:pStyle w:val="ListParagraph"/>
        <w:numPr>
          <w:ilvl w:val="0"/>
          <w:numId w:val="31"/>
        </w:numPr>
        <w:autoSpaceDE w:val="0"/>
        <w:autoSpaceDN w:val="0"/>
        <w:adjustRightInd w:val="0"/>
        <w:spacing w:after="0" w:line="360" w:lineRule="auto"/>
        <w:jc w:val="both"/>
        <w:rPr>
          <w:rFonts w:ascii="Arial" w:hAnsi="Arial" w:cs="Arial"/>
          <w:lang w:val="en-US"/>
        </w:rPr>
      </w:pPr>
      <w:r>
        <w:rPr>
          <w:rFonts w:ascii="Arial" w:hAnsi="Arial" w:cs="Arial"/>
          <w:b/>
          <w:lang w:val="en-US"/>
        </w:rPr>
        <w:t>Return and R</w:t>
      </w:r>
      <w:r w:rsidR="003E4378" w:rsidRPr="00E34E72">
        <w:rPr>
          <w:rFonts w:ascii="Arial" w:hAnsi="Arial" w:cs="Arial"/>
          <w:b/>
          <w:lang w:val="en-US"/>
        </w:rPr>
        <w:t>eintegration</w:t>
      </w:r>
      <w:r w:rsidR="003E4378" w:rsidRPr="00E34E72">
        <w:rPr>
          <w:rFonts w:ascii="Arial" w:hAnsi="Arial" w:cs="Arial"/>
          <w:lang w:val="en-US"/>
        </w:rPr>
        <w:t>: Return is the most important pathway to knowledge transfer</w:t>
      </w:r>
      <w:r w:rsidR="00141734" w:rsidRPr="00E34E72">
        <w:rPr>
          <w:rFonts w:ascii="Arial" w:hAnsi="Arial" w:cs="Arial"/>
          <w:lang w:val="en-US"/>
        </w:rPr>
        <w:t xml:space="preserve"> for the benefit of development</w:t>
      </w:r>
      <w:r w:rsidR="003E4378" w:rsidRPr="00E34E72">
        <w:rPr>
          <w:rFonts w:ascii="Arial" w:hAnsi="Arial" w:cs="Arial"/>
          <w:lang w:val="en-US"/>
        </w:rPr>
        <w:t xml:space="preserve">. </w:t>
      </w:r>
      <w:r w:rsidR="00384BF5" w:rsidRPr="00E34E72">
        <w:rPr>
          <w:rFonts w:ascii="Arial" w:hAnsi="Arial" w:cs="Arial"/>
          <w:lang w:val="en-US"/>
        </w:rPr>
        <w:t>In the case of permanent return, this requires also re</w:t>
      </w:r>
      <w:r w:rsidR="001513DC" w:rsidRPr="00E34E72">
        <w:rPr>
          <w:rFonts w:ascii="Arial" w:hAnsi="Arial" w:cs="Arial"/>
          <w:lang w:val="en-US"/>
        </w:rPr>
        <w:t>integration</w:t>
      </w:r>
      <w:r>
        <w:rPr>
          <w:rFonts w:ascii="Arial" w:hAnsi="Arial" w:cs="Arial"/>
          <w:lang w:val="en-US"/>
        </w:rPr>
        <w:t>,</w:t>
      </w:r>
      <w:r w:rsidR="00384BF5" w:rsidRPr="00E34E72">
        <w:rPr>
          <w:rFonts w:ascii="Arial" w:hAnsi="Arial" w:cs="Arial"/>
          <w:lang w:val="en-US"/>
        </w:rPr>
        <w:t xml:space="preserve"> which is why these topics cannot be separated.</w:t>
      </w:r>
      <w:r w:rsidR="004105C5" w:rsidRPr="00E34E72">
        <w:rPr>
          <w:rFonts w:ascii="Arial" w:hAnsi="Arial" w:cs="Arial"/>
          <w:lang w:val="en-US"/>
        </w:rPr>
        <w:t xml:space="preserve"> </w:t>
      </w:r>
      <w:r w:rsidR="003C6AC0" w:rsidRPr="00E34E72">
        <w:rPr>
          <w:rFonts w:ascii="Arial" w:hAnsi="Arial" w:cs="Arial"/>
          <w:lang w:val="en-US"/>
        </w:rPr>
        <w:t>While the voluntary nature of return constitutes an essential pre-requisite for sustainable reintegration, forced return represents a reality on the ground and thus should not be neglected.</w:t>
      </w:r>
    </w:p>
    <w:p w14:paraId="2D7A8DD5" w14:textId="5AB4CC74" w:rsidR="001513DC" w:rsidRPr="00D24B28" w:rsidRDefault="00D24B28" w:rsidP="00020D37">
      <w:pPr>
        <w:pStyle w:val="ListParagraph"/>
        <w:numPr>
          <w:ilvl w:val="0"/>
          <w:numId w:val="45"/>
        </w:numPr>
        <w:autoSpaceDE w:val="0"/>
        <w:autoSpaceDN w:val="0"/>
        <w:adjustRightInd w:val="0"/>
        <w:spacing w:after="0" w:line="360" w:lineRule="auto"/>
        <w:rPr>
          <w:rFonts w:ascii="Arial" w:hAnsi="Arial" w:cs="Arial"/>
          <w:b/>
          <w:lang w:val="en-US"/>
        </w:rPr>
      </w:pPr>
      <w:r>
        <w:rPr>
          <w:rFonts w:ascii="Arial" w:hAnsi="Arial" w:cs="Arial"/>
          <w:b/>
          <w:lang w:val="en-US"/>
        </w:rPr>
        <w:t>Migration P</w:t>
      </w:r>
      <w:r w:rsidR="009F42D9" w:rsidRPr="00020D37">
        <w:rPr>
          <w:rFonts w:ascii="Arial" w:hAnsi="Arial" w:cs="Arial"/>
          <w:b/>
          <w:lang w:val="en-US"/>
        </w:rPr>
        <w:t>olicy</w:t>
      </w:r>
      <w:r>
        <w:rPr>
          <w:rFonts w:ascii="Arial" w:hAnsi="Arial" w:cs="Arial"/>
          <w:b/>
          <w:lang w:val="en-US"/>
        </w:rPr>
        <w:t>/Mainstreaming of M</w:t>
      </w:r>
      <w:r w:rsidR="00F7286F" w:rsidRPr="00020D37">
        <w:rPr>
          <w:rFonts w:ascii="Arial" w:hAnsi="Arial" w:cs="Arial"/>
          <w:b/>
          <w:lang w:val="en-US"/>
        </w:rPr>
        <w:t>igration</w:t>
      </w:r>
      <w:r w:rsidR="009F42D9" w:rsidRPr="00020D37">
        <w:rPr>
          <w:rFonts w:ascii="Arial" w:hAnsi="Arial" w:cs="Arial"/>
          <w:b/>
          <w:lang w:val="en-US"/>
        </w:rPr>
        <w:t xml:space="preserve">: </w:t>
      </w:r>
      <w:r w:rsidR="009F42D9" w:rsidRPr="00020D37">
        <w:rPr>
          <w:rFonts w:ascii="Arial" w:hAnsi="Arial" w:cs="Arial"/>
          <w:lang w:val="en-US"/>
        </w:rPr>
        <w:t>This includes questions on legal and institutional frameworks for migration as well as policy coherence</w:t>
      </w:r>
      <w:r w:rsidR="009B563F" w:rsidRPr="00020D37">
        <w:rPr>
          <w:rFonts w:ascii="Arial" w:hAnsi="Arial" w:cs="Arial"/>
          <w:lang w:val="en-US"/>
        </w:rPr>
        <w:t xml:space="preserve"> </w:t>
      </w:r>
      <w:r w:rsidR="009E267F" w:rsidRPr="00020D37">
        <w:rPr>
          <w:rFonts w:ascii="Arial" w:hAnsi="Arial" w:cs="Arial"/>
          <w:lang w:val="en-US"/>
        </w:rPr>
        <w:t>at</w:t>
      </w:r>
      <w:r w:rsidR="009B563F" w:rsidRPr="00020D37">
        <w:rPr>
          <w:rFonts w:ascii="Arial" w:hAnsi="Arial" w:cs="Arial"/>
          <w:lang w:val="en-US"/>
        </w:rPr>
        <w:t xml:space="preserve"> and between all levels of government</w:t>
      </w:r>
      <w:r w:rsidR="00DD6D55" w:rsidRPr="00020D37">
        <w:rPr>
          <w:rFonts w:ascii="Arial" w:hAnsi="Arial" w:cs="Arial"/>
          <w:lang w:val="en-US"/>
        </w:rPr>
        <w:t xml:space="preserve">, </w:t>
      </w:r>
      <w:r w:rsidR="00F7286F" w:rsidRPr="00020D37">
        <w:rPr>
          <w:rFonts w:ascii="Arial" w:hAnsi="Arial" w:cs="Arial"/>
          <w:lang w:val="en-US"/>
        </w:rPr>
        <w:t>including by mainstreaming migration in relevant sectoral policies (e.g. development strategies, health-sector policies, trade-policies</w:t>
      </w:r>
      <w:r w:rsidR="00F7286F" w:rsidRPr="00B61700">
        <w:rPr>
          <w:rFonts w:ascii="Arial" w:hAnsi="Arial" w:cs="Arial"/>
          <w:lang w:val="en-US"/>
        </w:rPr>
        <w:t>)</w:t>
      </w:r>
      <w:r w:rsidR="00B9283B" w:rsidRPr="00B61700">
        <w:rPr>
          <w:rFonts w:ascii="Arial" w:hAnsi="Arial" w:cs="Arial"/>
          <w:lang w:val="en-US"/>
        </w:rPr>
        <w:t>.</w:t>
      </w:r>
      <w:r w:rsidR="00F00B0C" w:rsidRPr="00B61700">
        <w:rPr>
          <w:rFonts w:ascii="Arial" w:hAnsi="Arial" w:cs="Arial"/>
          <w:lang w:val="en-US"/>
        </w:rPr>
        <w:t xml:space="preserve"> </w:t>
      </w:r>
      <w:r w:rsidR="002B3C14" w:rsidRPr="00B61700">
        <w:rPr>
          <w:rFonts w:ascii="Arial" w:hAnsi="Arial" w:cs="Arial"/>
          <w:lang w:val="en-US"/>
        </w:rPr>
        <w:t>GFMD</w:t>
      </w:r>
      <w:r w:rsidR="002B3C14" w:rsidRPr="00020D37">
        <w:rPr>
          <w:rFonts w:ascii="Arial" w:hAnsi="Arial" w:cs="Arial"/>
          <w:lang w:val="en-US"/>
        </w:rPr>
        <w:t xml:space="preserve"> </w:t>
      </w:r>
      <w:r w:rsidR="006E7F75">
        <w:rPr>
          <w:rFonts w:ascii="Arial" w:hAnsi="Arial" w:cs="Arial"/>
          <w:lang w:val="en-US"/>
        </w:rPr>
        <w:t>has focused on</w:t>
      </w:r>
      <w:r w:rsidR="002B3C14" w:rsidRPr="00020D37">
        <w:rPr>
          <w:rFonts w:ascii="Arial" w:hAnsi="Arial" w:cs="Arial"/>
          <w:lang w:val="en-US"/>
        </w:rPr>
        <w:t xml:space="preserve"> </w:t>
      </w:r>
      <w:r w:rsidR="002B3C14" w:rsidRPr="00F00B0C">
        <w:rPr>
          <w:rFonts w:ascii="Arial" w:hAnsi="Arial" w:cs="Arial"/>
          <w:lang w:val="en-US"/>
        </w:rPr>
        <w:t>the human rights of migrants as a cross-sectoral direct impact factor for development, addressing the issue</w:t>
      </w:r>
      <w:r w:rsidR="00F00B0C">
        <w:rPr>
          <w:rFonts w:ascii="Arial" w:hAnsi="Arial" w:cs="Arial"/>
          <w:lang w:val="en-US"/>
        </w:rPr>
        <w:t>s</w:t>
      </w:r>
      <w:r w:rsidR="002B3C14" w:rsidRPr="00F00B0C">
        <w:rPr>
          <w:rFonts w:ascii="Arial" w:hAnsi="Arial" w:cs="Arial"/>
          <w:lang w:val="en-US"/>
        </w:rPr>
        <w:t xml:space="preserve"> of access to social services, information</w:t>
      </w:r>
      <w:r w:rsidR="00F00B0C">
        <w:rPr>
          <w:rFonts w:ascii="Arial" w:hAnsi="Arial" w:cs="Arial"/>
          <w:lang w:val="en-US"/>
        </w:rPr>
        <w:t xml:space="preserve">, voice and </w:t>
      </w:r>
      <w:r w:rsidR="00F00B0C" w:rsidRPr="00F00B0C">
        <w:rPr>
          <w:rFonts w:ascii="Arial" w:hAnsi="Arial" w:cs="Arial"/>
          <w:lang w:val="en-US"/>
        </w:rPr>
        <w:t>claiming rights</w:t>
      </w:r>
      <w:r w:rsidR="002B3C14" w:rsidRPr="00F00B0C">
        <w:rPr>
          <w:rFonts w:ascii="Arial" w:hAnsi="Arial" w:cs="Arial"/>
          <w:lang w:val="en-US"/>
        </w:rPr>
        <w:t xml:space="preserve"> as</w:t>
      </w:r>
      <w:r w:rsidR="00F00B0C">
        <w:rPr>
          <w:rFonts w:ascii="Arial" w:hAnsi="Arial" w:cs="Arial"/>
          <w:lang w:val="en-US"/>
        </w:rPr>
        <w:t xml:space="preserve"> </w:t>
      </w:r>
      <w:r w:rsidR="002B3C14" w:rsidRPr="00F00B0C">
        <w:rPr>
          <w:rFonts w:ascii="Arial" w:hAnsi="Arial" w:cs="Arial"/>
          <w:lang w:val="en-US"/>
        </w:rPr>
        <w:t>way</w:t>
      </w:r>
      <w:r w:rsidR="00F00B0C">
        <w:rPr>
          <w:rFonts w:ascii="Arial" w:hAnsi="Arial" w:cs="Arial"/>
          <w:lang w:val="en-US"/>
        </w:rPr>
        <w:t>s</w:t>
      </w:r>
      <w:r w:rsidR="002B3C14" w:rsidRPr="00F00B0C">
        <w:rPr>
          <w:rFonts w:ascii="Arial" w:hAnsi="Arial" w:cs="Arial"/>
          <w:lang w:val="en-US"/>
        </w:rPr>
        <w:t xml:space="preserve"> of empowerment</w:t>
      </w:r>
      <w:r>
        <w:rPr>
          <w:rFonts w:ascii="Arial" w:hAnsi="Arial" w:cs="Arial"/>
          <w:lang w:val="en-US"/>
        </w:rPr>
        <w:t>.</w:t>
      </w:r>
    </w:p>
    <w:p w14:paraId="629E6250" w14:textId="77777777" w:rsidR="00D24B28" w:rsidRPr="00F00B0C" w:rsidRDefault="00D24B28" w:rsidP="00D24B28">
      <w:pPr>
        <w:pStyle w:val="ListParagraph"/>
        <w:autoSpaceDE w:val="0"/>
        <w:autoSpaceDN w:val="0"/>
        <w:adjustRightInd w:val="0"/>
        <w:spacing w:after="0" w:line="360" w:lineRule="auto"/>
        <w:rPr>
          <w:rFonts w:ascii="Arial" w:hAnsi="Arial" w:cs="Arial"/>
          <w:b/>
          <w:lang w:val="en-US"/>
        </w:rPr>
      </w:pPr>
    </w:p>
    <w:p w14:paraId="519FF513" w14:textId="77777777" w:rsidR="00EF11B4" w:rsidRPr="00E34E72" w:rsidRDefault="00EF11B4" w:rsidP="006A6B4B">
      <w:pPr>
        <w:autoSpaceDE w:val="0"/>
        <w:autoSpaceDN w:val="0"/>
        <w:adjustRightInd w:val="0"/>
        <w:spacing w:after="0" w:line="360" w:lineRule="auto"/>
        <w:jc w:val="both"/>
        <w:rPr>
          <w:rFonts w:ascii="Arial" w:hAnsi="Arial" w:cs="Arial"/>
          <w:lang w:val="en-US"/>
        </w:rPr>
      </w:pPr>
      <w:r w:rsidRPr="00E34E72">
        <w:rPr>
          <w:rFonts w:ascii="Arial" w:hAnsi="Arial" w:cs="Arial"/>
          <w:lang w:val="en-US"/>
        </w:rPr>
        <w:t xml:space="preserve">Having outlined </w:t>
      </w:r>
      <w:r w:rsidR="007F3C94" w:rsidRPr="00E34E72">
        <w:rPr>
          <w:rFonts w:ascii="Arial" w:hAnsi="Arial" w:cs="Arial"/>
          <w:lang w:val="en-US"/>
        </w:rPr>
        <w:t xml:space="preserve">these </w:t>
      </w:r>
      <w:r w:rsidRPr="00E34E72">
        <w:rPr>
          <w:rFonts w:ascii="Arial" w:hAnsi="Arial" w:cs="Arial"/>
          <w:lang w:val="en-US"/>
        </w:rPr>
        <w:t>areas</w:t>
      </w:r>
      <w:r w:rsidR="00C07B65">
        <w:rPr>
          <w:rFonts w:ascii="Arial" w:hAnsi="Arial" w:cs="Arial"/>
          <w:lang w:val="en-US"/>
        </w:rPr>
        <w:t xml:space="preserve"> </w:t>
      </w:r>
      <w:r w:rsidR="00DD6D55" w:rsidRPr="00E34E72">
        <w:rPr>
          <w:rFonts w:ascii="Arial" w:hAnsi="Arial" w:cs="Arial"/>
          <w:lang w:val="en-US"/>
        </w:rPr>
        <w:t>for the purpose of this year’s HLPF report</w:t>
      </w:r>
      <w:r w:rsidRPr="00E34E72">
        <w:rPr>
          <w:rFonts w:ascii="Arial" w:hAnsi="Arial" w:cs="Arial"/>
          <w:lang w:val="en-US"/>
        </w:rPr>
        <w:t xml:space="preserve">, the following </w:t>
      </w:r>
      <w:r w:rsidRPr="00E34E72">
        <w:rPr>
          <w:rFonts w:ascii="Arial" w:hAnsi="Arial" w:cs="Arial"/>
          <w:b/>
          <w:lang w:val="en-US"/>
        </w:rPr>
        <w:t>table links these</w:t>
      </w:r>
      <w:r w:rsidR="00C954DC" w:rsidRPr="00E34E72">
        <w:rPr>
          <w:rFonts w:ascii="Arial" w:hAnsi="Arial" w:cs="Arial"/>
          <w:b/>
          <w:lang w:val="en-US"/>
        </w:rPr>
        <w:t xml:space="preserve"> </w:t>
      </w:r>
      <w:r w:rsidR="00DF389A" w:rsidRPr="00E34E72">
        <w:rPr>
          <w:rFonts w:ascii="Arial" w:hAnsi="Arial" w:cs="Arial"/>
          <w:b/>
          <w:lang w:val="en-US"/>
        </w:rPr>
        <w:t>topics</w:t>
      </w:r>
      <w:r w:rsidRPr="00E34E72">
        <w:rPr>
          <w:rFonts w:ascii="Arial" w:hAnsi="Arial" w:cs="Arial"/>
          <w:b/>
          <w:lang w:val="en-US"/>
        </w:rPr>
        <w:t xml:space="preserve"> with the corresponding GFMD roundtable discussions from past </w:t>
      </w:r>
      <w:r w:rsidR="00DF389A" w:rsidRPr="00E34E72">
        <w:rPr>
          <w:rFonts w:ascii="Arial" w:hAnsi="Arial" w:cs="Arial"/>
          <w:b/>
          <w:lang w:val="en-US"/>
        </w:rPr>
        <w:t xml:space="preserve">GFMD </w:t>
      </w:r>
      <w:r w:rsidRPr="00E34E72">
        <w:rPr>
          <w:rFonts w:ascii="Arial" w:hAnsi="Arial" w:cs="Arial"/>
          <w:b/>
          <w:lang w:val="en-US"/>
        </w:rPr>
        <w:t>summits</w:t>
      </w:r>
      <w:r w:rsidRPr="00E34E72">
        <w:rPr>
          <w:rFonts w:ascii="Arial" w:hAnsi="Arial" w:cs="Arial"/>
          <w:lang w:val="en-US"/>
        </w:rPr>
        <w:t>. Since many roundtable discussions touch</w:t>
      </w:r>
      <w:r w:rsidR="00163041" w:rsidRPr="00E34E72">
        <w:rPr>
          <w:rFonts w:ascii="Arial" w:hAnsi="Arial" w:cs="Arial"/>
          <w:lang w:val="en-US"/>
        </w:rPr>
        <w:t>ed</w:t>
      </w:r>
      <w:r w:rsidRPr="00E34E72">
        <w:rPr>
          <w:rFonts w:ascii="Arial" w:hAnsi="Arial" w:cs="Arial"/>
          <w:lang w:val="en-US"/>
        </w:rPr>
        <w:t xml:space="preserve"> upon various areas in an inter-connected manner, the table is not exhaustive and </w:t>
      </w:r>
      <w:r w:rsidR="00163041" w:rsidRPr="00E34E72">
        <w:rPr>
          <w:rFonts w:ascii="Arial" w:hAnsi="Arial" w:cs="Arial"/>
          <w:lang w:val="en-US"/>
        </w:rPr>
        <w:t xml:space="preserve">some </w:t>
      </w:r>
      <w:r w:rsidRPr="00E34E72">
        <w:rPr>
          <w:rFonts w:ascii="Arial" w:hAnsi="Arial" w:cs="Arial"/>
          <w:lang w:val="en-US"/>
        </w:rPr>
        <w:t>roundtable</w:t>
      </w:r>
      <w:r w:rsidR="00163041" w:rsidRPr="00E34E72">
        <w:rPr>
          <w:rFonts w:ascii="Arial" w:hAnsi="Arial" w:cs="Arial"/>
          <w:lang w:val="en-US"/>
        </w:rPr>
        <w:t>s have</w:t>
      </w:r>
      <w:r w:rsidRPr="00E34E72">
        <w:rPr>
          <w:rFonts w:ascii="Arial" w:hAnsi="Arial" w:cs="Arial"/>
          <w:lang w:val="en-US"/>
        </w:rPr>
        <w:t xml:space="preserve"> provide</w:t>
      </w:r>
      <w:r w:rsidR="00163041" w:rsidRPr="00E34E72">
        <w:rPr>
          <w:rFonts w:ascii="Arial" w:hAnsi="Arial" w:cs="Arial"/>
          <w:lang w:val="en-US"/>
        </w:rPr>
        <w:t>d</w:t>
      </w:r>
      <w:r w:rsidRPr="00E34E72">
        <w:rPr>
          <w:rFonts w:ascii="Arial" w:hAnsi="Arial" w:cs="Arial"/>
          <w:lang w:val="en-US"/>
        </w:rPr>
        <w:t xml:space="preserve"> recommendations </w:t>
      </w:r>
      <w:r w:rsidR="00C954DC" w:rsidRPr="00E34E72">
        <w:rPr>
          <w:rFonts w:ascii="Arial" w:hAnsi="Arial" w:cs="Arial"/>
          <w:lang w:val="en-US"/>
        </w:rPr>
        <w:t xml:space="preserve">linked to a couple of </w:t>
      </w:r>
      <w:r w:rsidR="00B61700">
        <w:rPr>
          <w:rFonts w:ascii="Arial" w:hAnsi="Arial" w:cs="Arial"/>
          <w:lang w:val="en-US"/>
        </w:rPr>
        <w:t>migration and development</w:t>
      </w:r>
      <w:r w:rsidR="00C954DC" w:rsidRPr="00E34E72">
        <w:rPr>
          <w:rFonts w:ascii="Arial" w:hAnsi="Arial" w:cs="Arial"/>
          <w:lang w:val="en-US"/>
        </w:rPr>
        <w:t xml:space="preserve"> areas.</w:t>
      </w:r>
    </w:p>
    <w:p w14:paraId="0089CBCC" w14:textId="77777777" w:rsidR="009C263E" w:rsidRDefault="009C263E" w:rsidP="006A6B4B">
      <w:pPr>
        <w:autoSpaceDE w:val="0"/>
        <w:autoSpaceDN w:val="0"/>
        <w:adjustRightInd w:val="0"/>
        <w:spacing w:after="0" w:line="360" w:lineRule="auto"/>
        <w:jc w:val="both"/>
        <w:rPr>
          <w:rFonts w:ascii="Arial" w:hAnsi="Arial" w:cs="Arial"/>
          <w:lang w:val="en-US"/>
        </w:rPr>
      </w:pPr>
    </w:p>
    <w:p w14:paraId="415C082F" w14:textId="77777777" w:rsidR="00020D37" w:rsidRDefault="00020D37" w:rsidP="006A6B4B">
      <w:pPr>
        <w:autoSpaceDE w:val="0"/>
        <w:autoSpaceDN w:val="0"/>
        <w:adjustRightInd w:val="0"/>
        <w:spacing w:after="0" w:line="360" w:lineRule="auto"/>
        <w:jc w:val="both"/>
        <w:rPr>
          <w:rFonts w:ascii="Arial" w:hAnsi="Arial" w:cs="Arial"/>
          <w:lang w:val="en-US"/>
        </w:rPr>
      </w:pPr>
    </w:p>
    <w:p w14:paraId="02B2B9F6" w14:textId="77777777" w:rsidR="00020D37" w:rsidRPr="00E34E72" w:rsidRDefault="00020D37" w:rsidP="006A6B4B">
      <w:pPr>
        <w:autoSpaceDE w:val="0"/>
        <w:autoSpaceDN w:val="0"/>
        <w:adjustRightInd w:val="0"/>
        <w:spacing w:after="0" w:line="360" w:lineRule="auto"/>
        <w:jc w:val="both"/>
        <w:rPr>
          <w:rFonts w:ascii="Arial" w:hAnsi="Arial" w:cs="Arial"/>
          <w:lang w:val="en-US"/>
        </w:rPr>
      </w:pPr>
    </w:p>
    <w:p w14:paraId="1D94CADE" w14:textId="78185E0F" w:rsidR="00C954DC" w:rsidRPr="00E34E72" w:rsidRDefault="00D15278" w:rsidP="001D3D28">
      <w:pPr>
        <w:autoSpaceDE w:val="0"/>
        <w:autoSpaceDN w:val="0"/>
        <w:adjustRightInd w:val="0"/>
        <w:spacing w:after="0" w:line="360" w:lineRule="auto"/>
        <w:rPr>
          <w:rFonts w:ascii="Arial" w:hAnsi="Arial" w:cs="Arial"/>
          <w:b/>
          <w:lang w:val="en-US"/>
        </w:rPr>
      </w:pPr>
      <w:r w:rsidRPr="00E34E72">
        <w:rPr>
          <w:rFonts w:ascii="Arial" w:hAnsi="Arial" w:cs="Arial"/>
          <w:b/>
          <w:lang w:val="en-US"/>
        </w:rPr>
        <w:t>Table 2</w:t>
      </w:r>
      <w:r w:rsidR="00C954DC" w:rsidRPr="00E34E72">
        <w:rPr>
          <w:rFonts w:ascii="Arial" w:hAnsi="Arial" w:cs="Arial"/>
          <w:b/>
          <w:lang w:val="en-US"/>
        </w:rPr>
        <w:t xml:space="preserve">: </w:t>
      </w:r>
      <w:r w:rsidR="00D24B28">
        <w:rPr>
          <w:rFonts w:ascii="Arial" w:hAnsi="Arial" w:cs="Arial"/>
          <w:b/>
          <w:lang w:val="en-US"/>
        </w:rPr>
        <w:t>P</w:t>
      </w:r>
      <w:r w:rsidR="00324D7C" w:rsidRPr="00E34E72">
        <w:rPr>
          <w:rFonts w:ascii="Arial" w:hAnsi="Arial" w:cs="Arial"/>
          <w:b/>
          <w:lang w:val="en-US"/>
        </w:rPr>
        <w:t xml:space="preserve">ast </w:t>
      </w:r>
      <w:r w:rsidR="00C954DC" w:rsidRPr="00E34E72">
        <w:rPr>
          <w:rFonts w:ascii="Arial" w:hAnsi="Arial" w:cs="Arial"/>
          <w:b/>
          <w:lang w:val="en-US"/>
        </w:rPr>
        <w:t xml:space="preserve">GFMD </w:t>
      </w:r>
      <w:r w:rsidR="00324D7C" w:rsidRPr="00E34E72">
        <w:rPr>
          <w:rFonts w:ascii="Arial" w:hAnsi="Arial" w:cs="Arial"/>
          <w:b/>
          <w:lang w:val="en-US"/>
        </w:rPr>
        <w:t>r</w:t>
      </w:r>
      <w:r w:rsidR="00C954DC" w:rsidRPr="00E34E72">
        <w:rPr>
          <w:rFonts w:ascii="Arial" w:hAnsi="Arial" w:cs="Arial"/>
          <w:b/>
          <w:lang w:val="en-US"/>
        </w:rPr>
        <w:t>oundtable</w:t>
      </w:r>
      <w:r w:rsidR="00324D7C" w:rsidRPr="00E34E72">
        <w:rPr>
          <w:rFonts w:ascii="Arial" w:hAnsi="Arial" w:cs="Arial"/>
          <w:b/>
          <w:lang w:val="en-US"/>
        </w:rPr>
        <w:t>s</w:t>
      </w:r>
      <w:r w:rsidR="00D24B28">
        <w:rPr>
          <w:rFonts w:ascii="Arial" w:hAnsi="Arial" w:cs="Arial"/>
          <w:b/>
          <w:lang w:val="en-US"/>
        </w:rPr>
        <w:t>’</w:t>
      </w:r>
      <w:r w:rsidR="00C954DC" w:rsidRPr="00E34E72">
        <w:rPr>
          <w:rFonts w:ascii="Arial" w:hAnsi="Arial" w:cs="Arial"/>
          <w:b/>
          <w:lang w:val="en-US"/>
        </w:rPr>
        <w:t xml:space="preserve"> corresponding </w:t>
      </w:r>
      <w:r w:rsidR="00DD6D55" w:rsidRPr="00E34E72">
        <w:rPr>
          <w:rFonts w:ascii="Arial" w:hAnsi="Arial" w:cs="Arial"/>
          <w:b/>
          <w:lang w:val="en-US"/>
        </w:rPr>
        <w:t xml:space="preserve">migration and </w:t>
      </w:r>
      <w:r w:rsidR="00B61700">
        <w:rPr>
          <w:rFonts w:ascii="Arial" w:hAnsi="Arial" w:cs="Arial"/>
          <w:b/>
          <w:lang w:val="en-US"/>
        </w:rPr>
        <w:t>d</w:t>
      </w:r>
      <w:r w:rsidR="00DD6D55" w:rsidRPr="00E34E72">
        <w:rPr>
          <w:rFonts w:ascii="Arial" w:hAnsi="Arial" w:cs="Arial"/>
          <w:b/>
          <w:lang w:val="en-US"/>
        </w:rPr>
        <w:t>evelopment areas</w:t>
      </w:r>
    </w:p>
    <w:tbl>
      <w:tblPr>
        <w:tblStyle w:val="TableGrid"/>
        <w:tblW w:w="4561" w:type="pct"/>
        <w:tblLayout w:type="fixed"/>
        <w:tblLook w:val="04A0" w:firstRow="1" w:lastRow="0" w:firstColumn="1" w:lastColumn="0" w:noHBand="0" w:noVBand="1"/>
      </w:tblPr>
      <w:tblGrid>
        <w:gridCol w:w="1811"/>
        <w:gridCol w:w="713"/>
        <w:gridCol w:w="712"/>
        <w:gridCol w:w="710"/>
        <w:gridCol w:w="708"/>
        <w:gridCol w:w="708"/>
        <w:gridCol w:w="708"/>
        <w:gridCol w:w="851"/>
        <w:gridCol w:w="708"/>
        <w:gridCol w:w="844"/>
      </w:tblGrid>
      <w:tr w:rsidR="009C37DD" w:rsidRPr="00E34E72" w14:paraId="36194EC7" w14:textId="77777777" w:rsidTr="00D24B28">
        <w:tc>
          <w:tcPr>
            <w:tcW w:w="1068" w:type="pct"/>
            <w:vAlign w:val="center"/>
          </w:tcPr>
          <w:p w14:paraId="7037587A" w14:textId="77777777" w:rsidR="009C37DD" w:rsidRPr="00E34E72" w:rsidRDefault="009C37DD" w:rsidP="00DD6D55">
            <w:pPr>
              <w:autoSpaceDE w:val="0"/>
              <w:autoSpaceDN w:val="0"/>
              <w:adjustRightInd w:val="0"/>
              <w:jc w:val="center"/>
              <w:rPr>
                <w:rFonts w:ascii="Arial" w:hAnsi="Arial" w:cs="Arial"/>
                <w:b/>
                <w:lang w:val="en-US"/>
              </w:rPr>
            </w:pPr>
            <w:r w:rsidRPr="00E34E72">
              <w:rPr>
                <w:rFonts w:ascii="Arial" w:hAnsi="Arial" w:cs="Arial"/>
                <w:b/>
                <w:lang w:val="en-US"/>
              </w:rPr>
              <w:t>M&amp;D Area</w:t>
            </w:r>
          </w:p>
        </w:tc>
        <w:tc>
          <w:tcPr>
            <w:tcW w:w="3932" w:type="pct"/>
            <w:gridSpan w:val="9"/>
            <w:vAlign w:val="center"/>
          </w:tcPr>
          <w:p w14:paraId="164A2926" w14:textId="77777777" w:rsidR="009C37DD" w:rsidRPr="00E34E72" w:rsidRDefault="009C37DD" w:rsidP="006A6B4B">
            <w:pPr>
              <w:autoSpaceDE w:val="0"/>
              <w:autoSpaceDN w:val="0"/>
              <w:adjustRightInd w:val="0"/>
              <w:jc w:val="center"/>
              <w:rPr>
                <w:rFonts w:ascii="Arial" w:hAnsi="Arial" w:cs="Arial"/>
                <w:b/>
                <w:lang w:val="en-US"/>
              </w:rPr>
            </w:pPr>
            <w:r w:rsidRPr="00E34E72">
              <w:rPr>
                <w:rFonts w:ascii="Arial" w:hAnsi="Arial" w:cs="Arial"/>
                <w:b/>
                <w:lang w:val="en-US"/>
              </w:rPr>
              <w:t>Roundtables (chair and year)</w:t>
            </w:r>
          </w:p>
        </w:tc>
      </w:tr>
      <w:tr w:rsidR="004C20D4" w:rsidRPr="00E34E72" w14:paraId="1423DB02" w14:textId="77777777" w:rsidTr="00D24B28">
        <w:tc>
          <w:tcPr>
            <w:tcW w:w="1068" w:type="pct"/>
            <w:vAlign w:val="center"/>
          </w:tcPr>
          <w:p w14:paraId="03EFF613" w14:textId="77777777" w:rsidR="008B085E" w:rsidRPr="00E34E72" w:rsidRDefault="008B085E" w:rsidP="00DD6D55">
            <w:pPr>
              <w:autoSpaceDE w:val="0"/>
              <w:autoSpaceDN w:val="0"/>
              <w:adjustRightInd w:val="0"/>
              <w:jc w:val="center"/>
              <w:rPr>
                <w:rFonts w:ascii="Arial" w:hAnsi="Arial" w:cs="Arial"/>
                <w:b/>
                <w:lang w:val="en-US"/>
              </w:rPr>
            </w:pPr>
          </w:p>
        </w:tc>
        <w:tc>
          <w:tcPr>
            <w:tcW w:w="421" w:type="pct"/>
            <w:vAlign w:val="center"/>
          </w:tcPr>
          <w:p w14:paraId="27BFD8D9"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BEL</w:t>
            </w:r>
          </w:p>
          <w:p w14:paraId="05EEBB2D"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2007</w:t>
            </w:r>
          </w:p>
        </w:tc>
        <w:tc>
          <w:tcPr>
            <w:tcW w:w="420" w:type="pct"/>
            <w:vAlign w:val="center"/>
          </w:tcPr>
          <w:p w14:paraId="328F659F"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PHL</w:t>
            </w:r>
          </w:p>
          <w:p w14:paraId="423A480C"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2008</w:t>
            </w:r>
          </w:p>
        </w:tc>
        <w:tc>
          <w:tcPr>
            <w:tcW w:w="419" w:type="pct"/>
            <w:vAlign w:val="center"/>
          </w:tcPr>
          <w:p w14:paraId="50EAD28B" w14:textId="77777777" w:rsidR="00B81CAA"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GRC</w:t>
            </w:r>
          </w:p>
          <w:p w14:paraId="5B9C04B2" w14:textId="77777777" w:rsidR="008B085E"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2009</w:t>
            </w:r>
          </w:p>
        </w:tc>
        <w:tc>
          <w:tcPr>
            <w:tcW w:w="418" w:type="pct"/>
            <w:vAlign w:val="center"/>
          </w:tcPr>
          <w:p w14:paraId="0B6D1794"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MEX</w:t>
            </w:r>
          </w:p>
          <w:p w14:paraId="732E465B"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2010</w:t>
            </w:r>
          </w:p>
        </w:tc>
        <w:tc>
          <w:tcPr>
            <w:tcW w:w="418" w:type="pct"/>
            <w:vAlign w:val="center"/>
          </w:tcPr>
          <w:p w14:paraId="514DF6BC"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CHE</w:t>
            </w:r>
          </w:p>
          <w:p w14:paraId="36FF76DE"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2011</w:t>
            </w:r>
          </w:p>
        </w:tc>
        <w:tc>
          <w:tcPr>
            <w:tcW w:w="418" w:type="pct"/>
            <w:vAlign w:val="center"/>
          </w:tcPr>
          <w:p w14:paraId="0180040F"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MUS</w:t>
            </w:r>
            <w:r w:rsidR="00B81CAA" w:rsidRPr="00E34E72">
              <w:rPr>
                <w:rFonts w:ascii="Arial" w:hAnsi="Arial" w:cs="Arial"/>
                <w:b/>
                <w:lang w:val="en-US"/>
              </w:rPr>
              <w:t xml:space="preserve"> 2012</w:t>
            </w:r>
          </w:p>
        </w:tc>
        <w:tc>
          <w:tcPr>
            <w:tcW w:w="502" w:type="pct"/>
            <w:vAlign w:val="center"/>
          </w:tcPr>
          <w:p w14:paraId="27286C06"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SWE</w:t>
            </w:r>
          </w:p>
          <w:p w14:paraId="54C4DAFA"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2014</w:t>
            </w:r>
          </w:p>
        </w:tc>
        <w:tc>
          <w:tcPr>
            <w:tcW w:w="418" w:type="pct"/>
            <w:vAlign w:val="center"/>
          </w:tcPr>
          <w:p w14:paraId="1F118206"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TUR</w:t>
            </w:r>
          </w:p>
          <w:p w14:paraId="7DB5F033"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2015</w:t>
            </w:r>
          </w:p>
        </w:tc>
        <w:tc>
          <w:tcPr>
            <w:tcW w:w="499" w:type="pct"/>
            <w:vAlign w:val="center"/>
          </w:tcPr>
          <w:p w14:paraId="47CCD46E" w14:textId="77777777" w:rsidR="008B085E" w:rsidRPr="00E34E72" w:rsidRDefault="008B085E" w:rsidP="006A6B4B">
            <w:pPr>
              <w:autoSpaceDE w:val="0"/>
              <w:autoSpaceDN w:val="0"/>
              <w:adjustRightInd w:val="0"/>
              <w:jc w:val="center"/>
              <w:rPr>
                <w:rFonts w:ascii="Arial" w:hAnsi="Arial" w:cs="Arial"/>
                <w:b/>
                <w:lang w:val="en-US"/>
              </w:rPr>
            </w:pPr>
            <w:r w:rsidRPr="00E34E72">
              <w:rPr>
                <w:rFonts w:ascii="Arial" w:hAnsi="Arial" w:cs="Arial"/>
                <w:b/>
                <w:lang w:val="en-US"/>
              </w:rPr>
              <w:t>BGD</w:t>
            </w:r>
          </w:p>
          <w:p w14:paraId="17FE5C33" w14:textId="77777777" w:rsidR="00B81CAA" w:rsidRPr="00E34E72" w:rsidRDefault="00B81CAA" w:rsidP="006A6B4B">
            <w:pPr>
              <w:autoSpaceDE w:val="0"/>
              <w:autoSpaceDN w:val="0"/>
              <w:adjustRightInd w:val="0"/>
              <w:jc w:val="center"/>
              <w:rPr>
                <w:rFonts w:ascii="Arial" w:hAnsi="Arial" w:cs="Arial"/>
                <w:b/>
                <w:lang w:val="en-US"/>
              </w:rPr>
            </w:pPr>
            <w:r w:rsidRPr="00E34E72">
              <w:rPr>
                <w:rFonts w:ascii="Arial" w:hAnsi="Arial" w:cs="Arial"/>
                <w:b/>
                <w:lang w:val="en-US"/>
              </w:rPr>
              <w:t>2016</w:t>
            </w:r>
          </w:p>
        </w:tc>
      </w:tr>
      <w:tr w:rsidR="004C20D4" w:rsidRPr="00E34E72" w14:paraId="55429687" w14:textId="77777777" w:rsidTr="00D24B28">
        <w:tc>
          <w:tcPr>
            <w:tcW w:w="1068" w:type="pct"/>
            <w:vAlign w:val="center"/>
          </w:tcPr>
          <w:p w14:paraId="3E95A455" w14:textId="77777777" w:rsidR="008B085E" w:rsidRPr="00E34E72" w:rsidRDefault="008B085E" w:rsidP="006A6B4B">
            <w:pPr>
              <w:autoSpaceDE w:val="0"/>
              <w:autoSpaceDN w:val="0"/>
              <w:adjustRightInd w:val="0"/>
              <w:rPr>
                <w:rFonts w:ascii="Arial" w:hAnsi="Arial" w:cs="Arial"/>
                <w:lang w:val="en-US"/>
              </w:rPr>
            </w:pPr>
            <w:r w:rsidRPr="00E34E72">
              <w:rPr>
                <w:rFonts w:ascii="Arial" w:hAnsi="Arial" w:cs="Arial"/>
                <w:b/>
                <w:lang w:val="en-US"/>
              </w:rPr>
              <w:t>Remittances</w:t>
            </w:r>
          </w:p>
        </w:tc>
        <w:tc>
          <w:tcPr>
            <w:tcW w:w="421" w:type="pct"/>
            <w:vAlign w:val="center"/>
          </w:tcPr>
          <w:p w14:paraId="0DCE2B19" w14:textId="77777777" w:rsidR="00163041"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r w:rsidR="00163041" w:rsidRPr="00E34E72">
              <w:rPr>
                <w:rFonts w:ascii="Arial" w:hAnsi="Arial" w:cs="Arial"/>
                <w:sz w:val="18"/>
                <w:szCs w:val="18"/>
                <w:lang w:val="en-US"/>
              </w:rPr>
              <w:t xml:space="preserve"> </w:t>
            </w:r>
            <w:r w:rsidRPr="00E34E72">
              <w:rPr>
                <w:rFonts w:ascii="Arial" w:hAnsi="Arial" w:cs="Arial"/>
                <w:sz w:val="18"/>
                <w:szCs w:val="18"/>
                <w:lang w:val="en-US"/>
              </w:rPr>
              <w:t>2.2,</w:t>
            </w:r>
          </w:p>
          <w:p w14:paraId="395805DF"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2.3</w:t>
            </w:r>
          </w:p>
        </w:tc>
        <w:tc>
          <w:tcPr>
            <w:tcW w:w="420" w:type="pct"/>
            <w:vAlign w:val="center"/>
          </w:tcPr>
          <w:p w14:paraId="00E600CD"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9" w:type="pct"/>
            <w:vAlign w:val="center"/>
          </w:tcPr>
          <w:p w14:paraId="12B96236"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6CF96BC3"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37A7FB62"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4263B13F"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502" w:type="pct"/>
            <w:vAlign w:val="center"/>
          </w:tcPr>
          <w:p w14:paraId="0593A524"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418" w:type="pct"/>
            <w:vAlign w:val="center"/>
          </w:tcPr>
          <w:p w14:paraId="0C331519"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99" w:type="pct"/>
            <w:vAlign w:val="center"/>
          </w:tcPr>
          <w:p w14:paraId="1EBD0A58"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w:t>
            </w:r>
          </w:p>
        </w:tc>
      </w:tr>
      <w:tr w:rsidR="004C20D4" w:rsidRPr="00E34E72" w14:paraId="650507F1" w14:textId="77777777" w:rsidTr="00D24B28">
        <w:tc>
          <w:tcPr>
            <w:tcW w:w="1068" w:type="pct"/>
            <w:vAlign w:val="center"/>
          </w:tcPr>
          <w:p w14:paraId="76959A99" w14:textId="77777777" w:rsidR="008B085E" w:rsidRPr="00E34E72" w:rsidRDefault="008B085E" w:rsidP="006A6B4B">
            <w:pPr>
              <w:autoSpaceDE w:val="0"/>
              <w:autoSpaceDN w:val="0"/>
              <w:adjustRightInd w:val="0"/>
              <w:rPr>
                <w:rFonts w:ascii="Arial" w:hAnsi="Arial" w:cs="Arial"/>
                <w:b/>
                <w:lang w:val="en-US"/>
              </w:rPr>
            </w:pPr>
            <w:r w:rsidRPr="00E34E72">
              <w:rPr>
                <w:rFonts w:ascii="Arial" w:hAnsi="Arial" w:cs="Arial"/>
                <w:b/>
                <w:lang w:val="en-US"/>
              </w:rPr>
              <w:t>Diaspora</w:t>
            </w:r>
          </w:p>
        </w:tc>
        <w:tc>
          <w:tcPr>
            <w:tcW w:w="421" w:type="pct"/>
            <w:vAlign w:val="center"/>
          </w:tcPr>
          <w:p w14:paraId="6458CC73"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2.4</w:t>
            </w:r>
          </w:p>
        </w:tc>
        <w:tc>
          <w:tcPr>
            <w:tcW w:w="420" w:type="pct"/>
            <w:vAlign w:val="center"/>
          </w:tcPr>
          <w:p w14:paraId="3DA85522"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p>
        </w:tc>
        <w:tc>
          <w:tcPr>
            <w:tcW w:w="419" w:type="pct"/>
            <w:vAlign w:val="center"/>
          </w:tcPr>
          <w:p w14:paraId="7DD6CEC4"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p>
        </w:tc>
        <w:tc>
          <w:tcPr>
            <w:tcW w:w="418" w:type="pct"/>
            <w:vAlign w:val="center"/>
          </w:tcPr>
          <w:p w14:paraId="34C7381B"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59C023DF"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3B2D0777"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p>
        </w:tc>
        <w:tc>
          <w:tcPr>
            <w:tcW w:w="502" w:type="pct"/>
            <w:vAlign w:val="center"/>
          </w:tcPr>
          <w:p w14:paraId="498437D2"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2.2</w:t>
            </w:r>
          </w:p>
        </w:tc>
        <w:tc>
          <w:tcPr>
            <w:tcW w:w="418" w:type="pct"/>
            <w:vAlign w:val="center"/>
          </w:tcPr>
          <w:p w14:paraId="705E5A17"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99" w:type="pct"/>
            <w:vAlign w:val="center"/>
          </w:tcPr>
          <w:p w14:paraId="6EB30649" w14:textId="77777777" w:rsidR="008B085E" w:rsidRPr="00E34E72" w:rsidRDefault="008B085E" w:rsidP="006A6B4B">
            <w:pPr>
              <w:autoSpaceDE w:val="0"/>
              <w:autoSpaceDN w:val="0"/>
              <w:adjustRightInd w:val="0"/>
              <w:jc w:val="center"/>
              <w:rPr>
                <w:rFonts w:ascii="Arial" w:hAnsi="Arial" w:cs="Arial"/>
                <w:sz w:val="18"/>
                <w:szCs w:val="18"/>
                <w:lang w:val="en-US"/>
              </w:rPr>
            </w:pPr>
          </w:p>
        </w:tc>
      </w:tr>
      <w:tr w:rsidR="004C20D4" w:rsidRPr="00E34E72" w14:paraId="1B4D37A6" w14:textId="77777777" w:rsidTr="00D24B28">
        <w:tc>
          <w:tcPr>
            <w:tcW w:w="1068" w:type="pct"/>
            <w:vAlign w:val="center"/>
          </w:tcPr>
          <w:p w14:paraId="0D0E9846" w14:textId="77777777" w:rsidR="008B085E" w:rsidRPr="00E34E72" w:rsidRDefault="008B085E" w:rsidP="006A6B4B">
            <w:pPr>
              <w:autoSpaceDE w:val="0"/>
              <w:autoSpaceDN w:val="0"/>
              <w:adjustRightInd w:val="0"/>
              <w:rPr>
                <w:rFonts w:ascii="Arial" w:hAnsi="Arial" w:cs="Arial"/>
                <w:lang w:val="en-US"/>
              </w:rPr>
            </w:pPr>
            <w:r w:rsidRPr="00E34E72">
              <w:rPr>
                <w:rFonts w:ascii="Arial" w:hAnsi="Arial" w:cs="Arial"/>
                <w:b/>
                <w:lang w:val="en-US"/>
              </w:rPr>
              <w:t>Private Sector Development through Migration</w:t>
            </w:r>
          </w:p>
        </w:tc>
        <w:tc>
          <w:tcPr>
            <w:tcW w:w="421" w:type="pct"/>
            <w:vAlign w:val="center"/>
          </w:tcPr>
          <w:p w14:paraId="03F4623E"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20" w:type="pct"/>
            <w:vAlign w:val="center"/>
          </w:tcPr>
          <w:p w14:paraId="51698976"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9" w:type="pct"/>
            <w:vAlign w:val="center"/>
          </w:tcPr>
          <w:p w14:paraId="58CB62C3"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0D98A617"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34286C44"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w:t>
            </w:r>
          </w:p>
        </w:tc>
        <w:tc>
          <w:tcPr>
            <w:tcW w:w="418" w:type="pct"/>
            <w:vAlign w:val="center"/>
          </w:tcPr>
          <w:p w14:paraId="0DCE311E" w14:textId="77777777" w:rsidR="008B085E" w:rsidRPr="00E34E72" w:rsidRDefault="008E304C"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p>
        </w:tc>
        <w:tc>
          <w:tcPr>
            <w:tcW w:w="502" w:type="pct"/>
            <w:vAlign w:val="center"/>
          </w:tcPr>
          <w:p w14:paraId="3A3EF928"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1CE94249"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499" w:type="pct"/>
            <w:vAlign w:val="center"/>
          </w:tcPr>
          <w:p w14:paraId="3BA09A53" w14:textId="77777777" w:rsidR="008B085E" w:rsidRPr="00E34E72" w:rsidRDefault="008B085E" w:rsidP="006A6B4B">
            <w:pPr>
              <w:autoSpaceDE w:val="0"/>
              <w:autoSpaceDN w:val="0"/>
              <w:adjustRightInd w:val="0"/>
              <w:jc w:val="center"/>
              <w:rPr>
                <w:rFonts w:ascii="Arial" w:hAnsi="Arial" w:cs="Arial"/>
                <w:sz w:val="18"/>
                <w:szCs w:val="18"/>
                <w:lang w:val="en-US"/>
              </w:rPr>
            </w:pPr>
          </w:p>
        </w:tc>
      </w:tr>
      <w:tr w:rsidR="004C20D4" w:rsidRPr="00E34E72" w14:paraId="3F6949DF" w14:textId="77777777" w:rsidTr="00D24B28">
        <w:tc>
          <w:tcPr>
            <w:tcW w:w="1068" w:type="pct"/>
            <w:vAlign w:val="center"/>
          </w:tcPr>
          <w:p w14:paraId="7C5C9871" w14:textId="77777777" w:rsidR="008B085E" w:rsidRPr="00E34E72" w:rsidRDefault="008B085E" w:rsidP="006A6B4B">
            <w:pPr>
              <w:autoSpaceDE w:val="0"/>
              <w:autoSpaceDN w:val="0"/>
              <w:adjustRightInd w:val="0"/>
              <w:rPr>
                <w:rFonts w:ascii="Arial" w:hAnsi="Arial" w:cs="Arial"/>
                <w:lang w:val="en-US"/>
              </w:rPr>
            </w:pPr>
            <w:r w:rsidRPr="00E34E72">
              <w:rPr>
                <w:rFonts w:ascii="Arial" w:hAnsi="Arial" w:cs="Arial"/>
                <w:b/>
                <w:lang w:val="en-US"/>
              </w:rPr>
              <w:t>Labor Migration</w:t>
            </w:r>
          </w:p>
        </w:tc>
        <w:tc>
          <w:tcPr>
            <w:tcW w:w="421" w:type="pct"/>
            <w:vAlign w:val="center"/>
          </w:tcPr>
          <w:p w14:paraId="07512FA6"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1.1, 1.2, 1.3,</w:t>
            </w:r>
          </w:p>
          <w:p w14:paraId="509DABE0"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1.4,</w:t>
            </w:r>
          </w:p>
          <w:p w14:paraId="4BD78F89"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20" w:type="pct"/>
            <w:vAlign w:val="center"/>
          </w:tcPr>
          <w:p w14:paraId="27AA4879"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9" w:type="pct"/>
            <w:vAlign w:val="center"/>
          </w:tcPr>
          <w:p w14:paraId="4AAB0B4B"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1EDD2513"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p>
        </w:tc>
        <w:tc>
          <w:tcPr>
            <w:tcW w:w="418" w:type="pct"/>
            <w:vAlign w:val="center"/>
          </w:tcPr>
          <w:p w14:paraId="24E401CD"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1.1, 1.2, 1.3,</w:t>
            </w:r>
          </w:p>
          <w:p w14:paraId="5A25DC47"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79808294"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1.1, 3.3</w:t>
            </w:r>
          </w:p>
        </w:tc>
        <w:tc>
          <w:tcPr>
            <w:tcW w:w="502" w:type="pct"/>
            <w:vAlign w:val="center"/>
          </w:tcPr>
          <w:p w14:paraId="521E7275"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p>
        </w:tc>
        <w:tc>
          <w:tcPr>
            <w:tcW w:w="418" w:type="pct"/>
            <w:vAlign w:val="center"/>
          </w:tcPr>
          <w:p w14:paraId="7519D4BB"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p>
        </w:tc>
        <w:tc>
          <w:tcPr>
            <w:tcW w:w="499" w:type="pct"/>
            <w:vAlign w:val="center"/>
          </w:tcPr>
          <w:p w14:paraId="7B030F27"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w:t>
            </w:r>
          </w:p>
        </w:tc>
      </w:tr>
      <w:tr w:rsidR="004C20D4" w:rsidRPr="00E34E72" w14:paraId="0F16CEC3" w14:textId="77777777" w:rsidTr="00D24B28">
        <w:tc>
          <w:tcPr>
            <w:tcW w:w="1068" w:type="pct"/>
            <w:vAlign w:val="center"/>
          </w:tcPr>
          <w:p w14:paraId="4543CFD8" w14:textId="1525FE63" w:rsidR="008B085E" w:rsidRPr="00E34E72" w:rsidRDefault="00D24B28" w:rsidP="006A6B4B">
            <w:pPr>
              <w:autoSpaceDE w:val="0"/>
              <w:autoSpaceDN w:val="0"/>
              <w:adjustRightInd w:val="0"/>
              <w:rPr>
                <w:rFonts w:ascii="Arial" w:hAnsi="Arial" w:cs="Arial"/>
                <w:lang w:val="en-US"/>
              </w:rPr>
            </w:pPr>
            <w:r>
              <w:rPr>
                <w:rFonts w:ascii="Arial" w:hAnsi="Arial" w:cs="Arial"/>
                <w:b/>
                <w:lang w:val="en-US"/>
              </w:rPr>
              <w:t>Return and Rei</w:t>
            </w:r>
            <w:r w:rsidR="008B085E" w:rsidRPr="00E34E72">
              <w:rPr>
                <w:rFonts w:ascii="Arial" w:hAnsi="Arial" w:cs="Arial"/>
                <w:b/>
                <w:lang w:val="en-US"/>
              </w:rPr>
              <w:t>ntegration</w:t>
            </w:r>
          </w:p>
        </w:tc>
        <w:tc>
          <w:tcPr>
            <w:tcW w:w="421" w:type="pct"/>
            <w:vAlign w:val="center"/>
          </w:tcPr>
          <w:p w14:paraId="55897785"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20" w:type="pct"/>
            <w:vAlign w:val="center"/>
          </w:tcPr>
          <w:p w14:paraId="15BB124B"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9" w:type="pct"/>
            <w:vAlign w:val="center"/>
          </w:tcPr>
          <w:p w14:paraId="44B98D14" w14:textId="77777777" w:rsidR="00163041"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p>
          <w:p w14:paraId="1D661D32"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2.2</w:t>
            </w:r>
          </w:p>
        </w:tc>
        <w:tc>
          <w:tcPr>
            <w:tcW w:w="418" w:type="pct"/>
            <w:vAlign w:val="center"/>
          </w:tcPr>
          <w:p w14:paraId="717AD456"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1030EAE5"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3FB00C36"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502" w:type="pct"/>
            <w:vAlign w:val="center"/>
          </w:tcPr>
          <w:p w14:paraId="5FD15639"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18" w:type="pct"/>
            <w:vAlign w:val="center"/>
          </w:tcPr>
          <w:p w14:paraId="7CE5A40B"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3.1</w:t>
            </w:r>
          </w:p>
        </w:tc>
        <w:tc>
          <w:tcPr>
            <w:tcW w:w="499" w:type="pct"/>
            <w:vAlign w:val="center"/>
          </w:tcPr>
          <w:p w14:paraId="10D323F3" w14:textId="77777777" w:rsidR="008B085E" w:rsidRPr="00E34E72" w:rsidRDefault="008B085E" w:rsidP="006A6B4B">
            <w:pPr>
              <w:autoSpaceDE w:val="0"/>
              <w:autoSpaceDN w:val="0"/>
              <w:adjustRightInd w:val="0"/>
              <w:jc w:val="center"/>
              <w:rPr>
                <w:rFonts w:ascii="Arial" w:hAnsi="Arial" w:cs="Arial"/>
                <w:sz w:val="18"/>
                <w:szCs w:val="18"/>
                <w:lang w:val="en-US"/>
              </w:rPr>
            </w:pPr>
          </w:p>
        </w:tc>
      </w:tr>
      <w:tr w:rsidR="004C20D4" w:rsidRPr="00E34E72" w14:paraId="23BCEDF3" w14:textId="77777777" w:rsidTr="00D24B28">
        <w:tc>
          <w:tcPr>
            <w:tcW w:w="1068" w:type="pct"/>
            <w:vAlign w:val="center"/>
          </w:tcPr>
          <w:p w14:paraId="7906CC21" w14:textId="412CB82C" w:rsidR="008B085E" w:rsidRPr="00E34E72" w:rsidRDefault="00D24B28" w:rsidP="00D24B28">
            <w:pPr>
              <w:autoSpaceDE w:val="0"/>
              <w:autoSpaceDN w:val="0"/>
              <w:adjustRightInd w:val="0"/>
              <w:rPr>
                <w:rFonts w:ascii="Arial" w:hAnsi="Arial" w:cs="Arial"/>
                <w:lang w:val="en-US"/>
              </w:rPr>
            </w:pPr>
            <w:r>
              <w:rPr>
                <w:rFonts w:ascii="Arial" w:hAnsi="Arial" w:cs="Arial"/>
                <w:b/>
                <w:lang w:val="en-US"/>
              </w:rPr>
              <w:t>Migration P</w:t>
            </w:r>
            <w:r w:rsidR="008B085E" w:rsidRPr="00E34E72">
              <w:rPr>
                <w:rFonts w:ascii="Arial" w:hAnsi="Arial" w:cs="Arial"/>
                <w:b/>
                <w:lang w:val="en-US"/>
              </w:rPr>
              <w:t>olicy</w:t>
            </w:r>
            <w:r>
              <w:rPr>
                <w:rFonts w:ascii="Arial" w:hAnsi="Arial" w:cs="Arial"/>
                <w:b/>
                <w:lang w:val="en-US"/>
              </w:rPr>
              <w:t>/Mainstrea-ming of M</w:t>
            </w:r>
            <w:r w:rsidR="00D14D9E" w:rsidRPr="00E34E72">
              <w:rPr>
                <w:rFonts w:ascii="Arial" w:hAnsi="Arial" w:cs="Arial"/>
                <w:b/>
                <w:lang w:val="en-US"/>
              </w:rPr>
              <w:t>igration</w:t>
            </w:r>
          </w:p>
        </w:tc>
        <w:tc>
          <w:tcPr>
            <w:tcW w:w="421" w:type="pct"/>
            <w:vAlign w:val="center"/>
          </w:tcPr>
          <w:p w14:paraId="14D1FE29" w14:textId="77777777" w:rsidR="008B085E" w:rsidRPr="00E34E72" w:rsidRDefault="00805D97"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420" w:type="pct"/>
            <w:vAlign w:val="center"/>
          </w:tcPr>
          <w:p w14:paraId="57101B39" w14:textId="77777777" w:rsidR="00163041"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p>
          <w:p w14:paraId="1FF1399E" w14:textId="77777777" w:rsidR="00D3297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2.2</w:t>
            </w:r>
            <w:r w:rsidR="00D3297E" w:rsidRPr="00E34E72">
              <w:rPr>
                <w:rFonts w:ascii="Arial" w:hAnsi="Arial" w:cs="Arial"/>
                <w:sz w:val="18"/>
                <w:szCs w:val="18"/>
                <w:lang w:val="en-US"/>
              </w:rPr>
              <w:t>,</w:t>
            </w:r>
          </w:p>
          <w:p w14:paraId="043C290F" w14:textId="77777777" w:rsidR="008B085E" w:rsidRPr="00E34E72" w:rsidRDefault="00724B91"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419" w:type="pct"/>
            <w:vAlign w:val="center"/>
          </w:tcPr>
          <w:p w14:paraId="12FFE2F1" w14:textId="77777777" w:rsidR="008B085E" w:rsidRPr="00E34E72" w:rsidRDefault="00724B91"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3.1, 3.2</w:t>
            </w:r>
          </w:p>
        </w:tc>
        <w:tc>
          <w:tcPr>
            <w:tcW w:w="418" w:type="pct"/>
            <w:vAlign w:val="center"/>
          </w:tcPr>
          <w:p w14:paraId="7DB1FDC1" w14:textId="77777777" w:rsidR="00163041"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w:t>
            </w:r>
          </w:p>
          <w:p w14:paraId="3060DCE2"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1.2</w:t>
            </w:r>
            <w:r w:rsidR="00724B91" w:rsidRPr="00E34E72">
              <w:rPr>
                <w:rFonts w:ascii="Arial" w:hAnsi="Arial" w:cs="Arial"/>
                <w:sz w:val="18"/>
                <w:szCs w:val="18"/>
                <w:lang w:val="en-US"/>
              </w:rPr>
              <w:t>, 3.1,</w:t>
            </w:r>
          </w:p>
          <w:p w14:paraId="0F06A90A" w14:textId="77777777" w:rsidR="00724B91" w:rsidRPr="00E34E72" w:rsidRDefault="00724B91"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418" w:type="pct"/>
            <w:vAlign w:val="center"/>
          </w:tcPr>
          <w:p w14:paraId="0D8F9D6F" w14:textId="77777777" w:rsidR="008B085E" w:rsidRPr="00E34E72" w:rsidRDefault="008B085E" w:rsidP="009C263E">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2.1</w:t>
            </w:r>
          </w:p>
        </w:tc>
        <w:tc>
          <w:tcPr>
            <w:tcW w:w="418" w:type="pct"/>
            <w:vAlign w:val="center"/>
          </w:tcPr>
          <w:p w14:paraId="599752A9"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c>
          <w:tcPr>
            <w:tcW w:w="502" w:type="pct"/>
            <w:vAlign w:val="center"/>
          </w:tcPr>
          <w:p w14:paraId="1D4B0519" w14:textId="77777777" w:rsidR="008B085E" w:rsidRPr="00E34E72" w:rsidRDefault="00724B91"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1.1</w:t>
            </w:r>
          </w:p>
        </w:tc>
        <w:tc>
          <w:tcPr>
            <w:tcW w:w="418" w:type="pct"/>
            <w:vAlign w:val="center"/>
          </w:tcPr>
          <w:p w14:paraId="620F528B" w14:textId="77777777" w:rsidR="008B085E" w:rsidRPr="00E34E72" w:rsidRDefault="008B085E" w:rsidP="006A6B4B">
            <w:pPr>
              <w:autoSpaceDE w:val="0"/>
              <w:autoSpaceDN w:val="0"/>
              <w:adjustRightInd w:val="0"/>
              <w:jc w:val="center"/>
              <w:rPr>
                <w:rFonts w:ascii="Arial" w:hAnsi="Arial" w:cs="Arial"/>
                <w:sz w:val="18"/>
                <w:szCs w:val="18"/>
                <w:lang w:val="en-US"/>
              </w:rPr>
            </w:pPr>
          </w:p>
        </w:tc>
        <w:tc>
          <w:tcPr>
            <w:tcW w:w="499" w:type="pct"/>
            <w:vAlign w:val="center"/>
          </w:tcPr>
          <w:p w14:paraId="00DE7CC3" w14:textId="77777777" w:rsidR="00163041"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3.1,</w:t>
            </w:r>
          </w:p>
          <w:p w14:paraId="7264E548" w14:textId="77777777" w:rsidR="008B085E" w:rsidRPr="00E34E72" w:rsidRDefault="008B085E" w:rsidP="006A6B4B">
            <w:pPr>
              <w:autoSpaceDE w:val="0"/>
              <w:autoSpaceDN w:val="0"/>
              <w:adjustRightInd w:val="0"/>
              <w:jc w:val="center"/>
              <w:rPr>
                <w:rFonts w:ascii="Arial" w:hAnsi="Arial" w:cs="Arial"/>
                <w:sz w:val="18"/>
                <w:szCs w:val="18"/>
                <w:lang w:val="en-US"/>
              </w:rPr>
            </w:pPr>
            <w:r w:rsidRPr="00E34E72">
              <w:rPr>
                <w:rFonts w:ascii="Arial" w:hAnsi="Arial" w:cs="Arial"/>
                <w:sz w:val="18"/>
                <w:szCs w:val="18"/>
                <w:lang w:val="en-US"/>
              </w:rPr>
              <w:t>3.2</w:t>
            </w:r>
          </w:p>
        </w:tc>
      </w:tr>
    </w:tbl>
    <w:p w14:paraId="22014CC9" w14:textId="77777777" w:rsidR="009C263E" w:rsidRPr="00E34E72" w:rsidRDefault="009C263E" w:rsidP="006A6B4B">
      <w:pPr>
        <w:spacing w:line="360" w:lineRule="auto"/>
        <w:jc w:val="both"/>
        <w:rPr>
          <w:rFonts w:ascii="Arial" w:hAnsi="Arial" w:cs="Arial"/>
          <w:lang w:val="en-US"/>
        </w:rPr>
      </w:pPr>
    </w:p>
    <w:p w14:paraId="26EB75C4" w14:textId="77777777" w:rsidR="004C20D4" w:rsidRPr="00E34E72" w:rsidRDefault="004C20D4" w:rsidP="006A6B4B">
      <w:pPr>
        <w:spacing w:line="360" w:lineRule="auto"/>
        <w:jc w:val="both"/>
        <w:rPr>
          <w:rFonts w:ascii="Arial" w:hAnsi="Arial" w:cs="Arial"/>
          <w:b/>
          <w:lang w:val="en-US"/>
        </w:rPr>
      </w:pPr>
      <w:r w:rsidRPr="00E34E72">
        <w:rPr>
          <w:rFonts w:ascii="Arial" w:hAnsi="Arial" w:cs="Arial"/>
          <w:lang w:val="en-US"/>
        </w:rPr>
        <w:t xml:space="preserve">Based on the analysis above, the report presents the </w:t>
      </w:r>
      <w:r w:rsidRPr="00E34E72">
        <w:rPr>
          <w:rFonts w:ascii="Arial" w:hAnsi="Arial" w:cs="Arial"/>
          <w:u w:val="single"/>
          <w:lang w:val="en-US"/>
        </w:rPr>
        <w:t>condensed recommendations</w:t>
      </w:r>
      <w:r w:rsidRPr="00E34E72">
        <w:rPr>
          <w:rFonts w:ascii="Arial" w:hAnsi="Arial" w:cs="Arial"/>
          <w:lang w:val="en-US"/>
        </w:rPr>
        <w:t xml:space="preserve"> of the past GFMD summits.</w:t>
      </w:r>
    </w:p>
    <w:p w14:paraId="3211A344" w14:textId="77777777" w:rsidR="004C20D4" w:rsidRPr="00E34E72" w:rsidRDefault="004C20D4" w:rsidP="00D94DA5">
      <w:pPr>
        <w:pStyle w:val="ListParagraph"/>
        <w:autoSpaceDE w:val="0"/>
        <w:autoSpaceDN w:val="0"/>
        <w:adjustRightInd w:val="0"/>
        <w:spacing w:after="0" w:line="360" w:lineRule="auto"/>
        <w:jc w:val="both"/>
        <w:rPr>
          <w:rFonts w:ascii="Arial" w:hAnsi="Arial" w:cs="Arial"/>
          <w:b/>
          <w:lang w:val="en-US"/>
        </w:rPr>
      </w:pPr>
      <w:r w:rsidRPr="00E34E72">
        <w:rPr>
          <w:rFonts w:ascii="Arial" w:hAnsi="Arial" w:cs="Arial"/>
          <w:b/>
          <w:lang w:val="en-US"/>
        </w:rPr>
        <w:t>Remittances</w:t>
      </w:r>
    </w:p>
    <w:p w14:paraId="69B130FB" w14:textId="4019DC8B" w:rsidR="006A6B4B" w:rsidRPr="00E34E72" w:rsidRDefault="004C20D4" w:rsidP="006A6B4B">
      <w:pPr>
        <w:autoSpaceDE w:val="0"/>
        <w:autoSpaceDN w:val="0"/>
        <w:adjustRightInd w:val="0"/>
        <w:spacing w:after="0" w:line="360" w:lineRule="auto"/>
        <w:jc w:val="both"/>
        <w:rPr>
          <w:rFonts w:ascii="Arial" w:hAnsi="Arial" w:cs="Arial"/>
          <w:lang w:val="en-US"/>
        </w:rPr>
      </w:pPr>
      <w:r w:rsidRPr="00E34E72">
        <w:rPr>
          <w:rFonts w:ascii="Arial" w:hAnsi="Arial" w:cs="Arial"/>
          <w:lang w:val="en-US"/>
        </w:rPr>
        <w:t>Recommendations focused on facilitating remittances and reducing transfer costs</w:t>
      </w:r>
      <w:r w:rsidR="00C07B65">
        <w:rPr>
          <w:rFonts w:ascii="Arial" w:hAnsi="Arial" w:cs="Arial"/>
          <w:lang w:val="en-US"/>
        </w:rPr>
        <w:t xml:space="preserve"> </w:t>
      </w:r>
      <w:r w:rsidRPr="00E34E72">
        <w:rPr>
          <w:rFonts w:ascii="Arial" w:hAnsi="Arial" w:cs="Arial"/>
          <w:lang w:val="en-US"/>
        </w:rPr>
        <w:t>in order to improve the potential for development.</w:t>
      </w:r>
      <w:r w:rsidR="00593D3B" w:rsidRPr="00593D3B">
        <w:rPr>
          <w:rFonts w:ascii="Arial" w:hAnsi="Arial" w:cs="Arial"/>
          <w:lang w:val="en-US"/>
        </w:rPr>
        <w:t xml:space="preserve"> </w:t>
      </w:r>
      <w:r w:rsidR="00593D3B" w:rsidRPr="00E34E72">
        <w:rPr>
          <w:rFonts w:ascii="Arial" w:hAnsi="Arial" w:cs="Arial"/>
          <w:lang w:val="en-US"/>
        </w:rPr>
        <w:t xml:space="preserve">Since the 2017 HLPF focuses on </w:t>
      </w:r>
      <w:r w:rsidR="00593D3B" w:rsidRPr="00E34E72">
        <w:rPr>
          <w:rFonts w:ascii="Arial" w:hAnsi="Arial" w:cs="Arial"/>
          <w:i/>
          <w:lang w:val="en-US"/>
        </w:rPr>
        <w:t>ending poverty and promoting prosperity</w:t>
      </w:r>
      <w:r w:rsidR="00593D3B">
        <w:rPr>
          <w:rFonts w:ascii="Arial" w:hAnsi="Arial" w:cs="Arial"/>
          <w:i/>
          <w:lang w:val="en-US"/>
        </w:rPr>
        <w:t xml:space="preserve"> </w:t>
      </w:r>
      <w:r w:rsidR="00593D3B" w:rsidRPr="00FE4305">
        <w:rPr>
          <w:rFonts w:ascii="Arial" w:hAnsi="Arial" w:cs="Arial"/>
          <w:lang w:val="en-US"/>
        </w:rPr>
        <w:t>(SDG 1),</w:t>
      </w:r>
      <w:r w:rsidR="00593D3B" w:rsidRPr="00E34E72">
        <w:rPr>
          <w:rFonts w:ascii="Arial" w:hAnsi="Arial" w:cs="Arial"/>
          <w:lang w:val="en-US"/>
        </w:rPr>
        <w:t xml:space="preserve"> this debate should be continued and positive effects of remittances on poverty reduction reaffirmed.</w:t>
      </w:r>
      <w:r w:rsidR="00593D3B">
        <w:rPr>
          <w:rFonts w:ascii="Arial" w:hAnsi="Arial" w:cs="Arial"/>
          <w:lang w:val="en-US"/>
        </w:rPr>
        <w:t xml:space="preserve"> In addition, remittances tend to be invested in the health of migrants’ families (SDG 3) as well as </w:t>
      </w:r>
      <w:r w:rsidR="00F00B0C">
        <w:rPr>
          <w:rFonts w:ascii="Arial" w:hAnsi="Arial" w:cs="Arial"/>
          <w:lang w:val="en-US"/>
        </w:rPr>
        <w:t xml:space="preserve">in </w:t>
      </w:r>
      <w:r w:rsidR="00593D3B">
        <w:rPr>
          <w:rFonts w:ascii="Arial" w:hAnsi="Arial" w:cs="Arial"/>
          <w:lang w:val="en-US"/>
        </w:rPr>
        <w:t>education and empowerment of women and children (SDG 5).</w:t>
      </w:r>
      <w:r w:rsidRPr="00E34E72">
        <w:rPr>
          <w:rFonts w:ascii="Arial" w:hAnsi="Arial" w:cs="Arial"/>
          <w:lang w:val="en-US"/>
        </w:rPr>
        <w:t xml:space="preserve"> This can be achieved by enhancing the financial literacy of both senders and recipients of remittances, promoting the usage of online and mobile technologies, strengthening related infrastructures (e.g. cost-comparison websites) and cooperation between different financial institutions, diversifying the supply of financial services and remittance-based financial products, or conducting further research </w:t>
      </w:r>
      <w:r w:rsidR="00D24B28">
        <w:rPr>
          <w:rFonts w:ascii="Arial" w:hAnsi="Arial" w:cs="Arial"/>
          <w:lang w:val="en-US"/>
        </w:rPr>
        <w:t>into</w:t>
      </w:r>
      <w:r w:rsidRPr="00E34E72">
        <w:rPr>
          <w:rFonts w:ascii="Arial" w:hAnsi="Arial" w:cs="Arial"/>
          <w:lang w:val="en-US"/>
        </w:rPr>
        <w:t xml:space="preserve"> the behavior of relevant actors. </w:t>
      </w:r>
      <w:r w:rsidR="00D14F35">
        <w:rPr>
          <w:rFonts w:ascii="Arial" w:hAnsi="Arial" w:cs="Arial"/>
          <w:lang w:val="en-US"/>
        </w:rPr>
        <w:t>E</w:t>
      </w:r>
      <w:r w:rsidR="00D14F35" w:rsidRPr="00E34E72">
        <w:rPr>
          <w:rFonts w:ascii="Arial" w:hAnsi="Arial" w:cs="Arial"/>
          <w:lang w:val="en-US"/>
        </w:rPr>
        <w:t>specially in early GFMDs</w:t>
      </w:r>
      <w:r w:rsidR="00D14F35">
        <w:rPr>
          <w:rFonts w:ascii="Arial" w:hAnsi="Arial" w:cs="Arial"/>
          <w:lang w:val="en-US"/>
        </w:rPr>
        <w:t>,</w:t>
      </w:r>
      <w:r w:rsidR="00D14F35" w:rsidRPr="00E34E72">
        <w:rPr>
          <w:rFonts w:ascii="Arial" w:hAnsi="Arial" w:cs="Arial"/>
          <w:lang w:val="en-US"/>
        </w:rPr>
        <w:t xml:space="preserve"> </w:t>
      </w:r>
      <w:r w:rsidR="00D14F35">
        <w:rPr>
          <w:rFonts w:ascii="Arial" w:hAnsi="Arial" w:cs="Arial"/>
          <w:lang w:val="en-US"/>
        </w:rPr>
        <w:t>t</w:t>
      </w:r>
      <w:r w:rsidRPr="00E34E72">
        <w:rPr>
          <w:rFonts w:ascii="Arial" w:hAnsi="Arial" w:cs="Arial"/>
          <w:lang w:val="en-US"/>
        </w:rPr>
        <w:t>he poverty-reducing effects of remittances have been highlighted prominently,</w:t>
      </w:r>
      <w:r w:rsidR="00D14F35">
        <w:rPr>
          <w:rFonts w:ascii="Arial" w:hAnsi="Arial" w:cs="Arial"/>
          <w:lang w:val="en-US"/>
        </w:rPr>
        <w:t xml:space="preserve"> w</w:t>
      </w:r>
      <w:r w:rsidR="008133FF">
        <w:rPr>
          <w:rFonts w:ascii="Arial" w:hAnsi="Arial" w:cs="Arial"/>
          <w:lang w:val="en-US"/>
        </w:rPr>
        <w:t>hile acknowledging that remittances constitute one tool among others</w:t>
      </w:r>
      <w:r w:rsidR="004634A9">
        <w:rPr>
          <w:rFonts w:ascii="Arial" w:hAnsi="Arial" w:cs="Arial"/>
          <w:lang w:val="en-US"/>
        </w:rPr>
        <w:t xml:space="preserve"> in order to overcome development challenges</w:t>
      </w:r>
      <w:r w:rsidR="008133FF">
        <w:rPr>
          <w:rFonts w:ascii="Arial" w:hAnsi="Arial" w:cs="Arial"/>
          <w:lang w:val="en-US"/>
        </w:rPr>
        <w:t>.</w:t>
      </w:r>
    </w:p>
    <w:p w14:paraId="4DB0FFC0" w14:textId="77777777" w:rsidR="006A6B4B" w:rsidRPr="00E34E72" w:rsidRDefault="006A6B4B" w:rsidP="006A6B4B">
      <w:pPr>
        <w:autoSpaceDE w:val="0"/>
        <w:autoSpaceDN w:val="0"/>
        <w:adjustRightInd w:val="0"/>
        <w:spacing w:after="0" w:line="360" w:lineRule="auto"/>
        <w:jc w:val="both"/>
        <w:rPr>
          <w:rFonts w:ascii="Arial" w:hAnsi="Arial" w:cs="Arial"/>
          <w:lang w:val="en-US"/>
        </w:rPr>
      </w:pPr>
    </w:p>
    <w:p w14:paraId="1A50382D" w14:textId="77777777" w:rsidR="006A6B4B" w:rsidRPr="00E34E72" w:rsidRDefault="00CA4D18" w:rsidP="00CA4D1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lastRenderedPageBreak/>
        <w:t>Best Practice Box 1: Remittances</w:t>
      </w:r>
      <w:r w:rsidRPr="00E34E72">
        <w:rPr>
          <w:rStyle w:val="FootnoteReference"/>
          <w:rFonts w:ascii="Arial" w:hAnsi="Arial" w:cs="Arial"/>
          <w:b/>
          <w:sz w:val="18"/>
          <w:szCs w:val="18"/>
          <w:lang w:val="en-US"/>
        </w:rPr>
        <w:footnoteReference w:id="4"/>
      </w:r>
    </w:p>
    <w:p w14:paraId="1287DE82" w14:textId="25C28856" w:rsidR="00EA0EE6" w:rsidRPr="00E34E72" w:rsidRDefault="00EA0EE6" w:rsidP="00CA4D1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Cost-</w:t>
      </w:r>
      <w:r w:rsidR="004F4D87" w:rsidRPr="00E34E72">
        <w:rPr>
          <w:rFonts w:ascii="Arial" w:hAnsi="Arial" w:cs="Arial"/>
          <w:sz w:val="18"/>
          <w:szCs w:val="18"/>
          <w:lang w:val="en-US"/>
        </w:rPr>
        <w:t>comparison</w:t>
      </w:r>
      <w:r w:rsidRPr="00E34E72">
        <w:rPr>
          <w:rFonts w:ascii="Arial" w:hAnsi="Arial" w:cs="Arial"/>
          <w:sz w:val="18"/>
          <w:szCs w:val="18"/>
          <w:lang w:val="en-US"/>
        </w:rPr>
        <w:t xml:space="preserve"> websites have been established, in </w:t>
      </w:r>
      <w:hyperlink r:id="rId10" w:history="1">
        <w:r w:rsidR="004634A9" w:rsidRPr="00E34E72">
          <w:rPr>
            <w:rStyle w:val="Hyperlink"/>
            <w:rFonts w:ascii="Arial" w:hAnsi="Arial" w:cs="Arial"/>
            <w:sz w:val="18"/>
            <w:szCs w:val="18"/>
            <w:lang w:val="en-US"/>
          </w:rPr>
          <w:t>Sweden</w:t>
        </w:r>
      </w:hyperlink>
      <w:r w:rsidR="00F7286F" w:rsidRPr="00E34E72">
        <w:rPr>
          <w:rStyle w:val="Hyperlink"/>
          <w:rFonts w:ascii="Arial" w:hAnsi="Arial" w:cs="Arial"/>
          <w:sz w:val="18"/>
          <w:szCs w:val="18"/>
          <w:lang w:val="en-US"/>
        </w:rPr>
        <w:t xml:space="preserve">, </w:t>
      </w:r>
      <w:r w:rsidR="00F7286F" w:rsidRPr="00D24B28">
        <w:rPr>
          <w:rFonts w:ascii="Arial" w:hAnsi="Arial" w:cs="Arial"/>
          <w:sz w:val="18"/>
          <w:szCs w:val="18"/>
          <w:lang w:val="en-US"/>
        </w:rPr>
        <w:t>Switzerland</w:t>
      </w:r>
      <w:r w:rsidR="00F7286F" w:rsidRPr="00D24B28">
        <w:rPr>
          <w:lang w:val="en-US"/>
        </w:rPr>
        <w:t xml:space="preserve"> and</w:t>
      </w:r>
      <w:r w:rsidRPr="00E34E72">
        <w:rPr>
          <w:rFonts w:ascii="Arial" w:hAnsi="Arial" w:cs="Arial"/>
          <w:sz w:val="18"/>
          <w:szCs w:val="18"/>
          <w:lang w:val="en-US"/>
        </w:rPr>
        <w:t xml:space="preserve"> </w:t>
      </w:r>
      <w:hyperlink r:id="rId11" w:history="1">
        <w:r w:rsidRPr="00E34E72">
          <w:rPr>
            <w:rStyle w:val="Hyperlink"/>
            <w:rFonts w:ascii="Arial" w:hAnsi="Arial" w:cs="Arial"/>
            <w:sz w:val="18"/>
            <w:szCs w:val="18"/>
            <w:lang w:val="en-US"/>
          </w:rPr>
          <w:t>Germany</w:t>
        </w:r>
      </w:hyperlink>
      <w:r w:rsidRPr="00E34E72">
        <w:rPr>
          <w:rFonts w:ascii="Arial" w:hAnsi="Arial" w:cs="Arial"/>
          <w:sz w:val="18"/>
          <w:szCs w:val="18"/>
          <w:lang w:val="en-US"/>
        </w:rPr>
        <w:t xml:space="preserve">. These aim at lowering transaction costs and increasing transparency for financial services, for example, by showing current fees charged for various countries. Additionally, </w:t>
      </w:r>
      <w:hyperlink r:id="rId12" w:history="1">
        <w:r w:rsidR="00844E97" w:rsidRPr="00E34E72">
          <w:rPr>
            <w:rStyle w:val="Hyperlink"/>
            <w:rFonts w:ascii="Arial" w:hAnsi="Arial" w:cs="Arial"/>
            <w:sz w:val="18"/>
            <w:szCs w:val="18"/>
            <w:lang w:val="en-US"/>
          </w:rPr>
          <w:t>Switzerland</w:t>
        </w:r>
      </w:hyperlink>
      <w:r w:rsidR="00844E97" w:rsidRPr="00E34E72">
        <w:rPr>
          <w:rFonts w:ascii="Arial" w:hAnsi="Arial" w:cs="Arial"/>
          <w:sz w:val="18"/>
          <w:szCs w:val="18"/>
          <w:lang w:val="en-US"/>
        </w:rPr>
        <w:t xml:space="preserve"> </w:t>
      </w:r>
      <w:r w:rsidRPr="00E34E72">
        <w:rPr>
          <w:rFonts w:ascii="Arial" w:hAnsi="Arial" w:cs="Arial"/>
          <w:sz w:val="18"/>
          <w:szCs w:val="18"/>
          <w:lang w:val="en-US"/>
        </w:rPr>
        <w:t>issued a brochure directed at migrants, informing them about various options to send money to their home countries.</w:t>
      </w:r>
    </w:p>
    <w:p w14:paraId="016FD1A2" w14:textId="77777777" w:rsidR="00EA0EE6" w:rsidRPr="00E34E72" w:rsidRDefault="00EA0EE6" w:rsidP="00CA4D1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In 2011, a </w:t>
      </w:r>
      <w:hyperlink r:id="rId13" w:history="1">
        <w:r w:rsidR="004634A9" w:rsidRPr="00E34E72">
          <w:rPr>
            <w:rStyle w:val="Hyperlink"/>
            <w:rFonts w:ascii="Arial" w:hAnsi="Arial" w:cs="Arial"/>
            <w:sz w:val="18"/>
            <w:szCs w:val="18"/>
            <w:lang w:val="en-US"/>
          </w:rPr>
          <w:t>study</w:t>
        </w:r>
      </w:hyperlink>
      <w:r w:rsidR="004634A9" w:rsidRPr="00B61700">
        <w:rPr>
          <w:rStyle w:val="Hyperlink"/>
          <w:rFonts w:ascii="Arial" w:hAnsi="Arial" w:cs="Arial"/>
          <w:sz w:val="18"/>
          <w:szCs w:val="18"/>
          <w:u w:val="none"/>
          <w:lang w:val="en-US"/>
        </w:rPr>
        <w:t xml:space="preserve"> </w:t>
      </w:r>
      <w:r w:rsidRPr="00E34E72">
        <w:rPr>
          <w:rFonts w:ascii="Arial" w:hAnsi="Arial" w:cs="Arial"/>
          <w:sz w:val="18"/>
          <w:szCs w:val="18"/>
          <w:lang w:val="en-US"/>
        </w:rPr>
        <w:t>by Epargne Sans Frontière investigated financial products and tools for the Maghreb Region and the Franc Zone, giving detailed insights to the effects of remittances. It found that remittances tend to be stable in times of economic uncertainty and that reducing the costs of remittances increases the contribution of these funds for development.</w:t>
      </w:r>
    </w:p>
    <w:p w14:paraId="39C9F45E" w14:textId="77777777" w:rsidR="002A4B28" w:rsidRPr="00E34E72" w:rsidRDefault="002A4B28" w:rsidP="006A6B4B">
      <w:pPr>
        <w:pStyle w:val="ListParagraph"/>
        <w:autoSpaceDE w:val="0"/>
        <w:autoSpaceDN w:val="0"/>
        <w:adjustRightInd w:val="0"/>
        <w:spacing w:after="0" w:line="360" w:lineRule="auto"/>
        <w:jc w:val="both"/>
        <w:rPr>
          <w:rFonts w:ascii="Arial" w:hAnsi="Arial" w:cs="Arial"/>
          <w:lang w:val="en-US"/>
        </w:rPr>
      </w:pPr>
    </w:p>
    <w:p w14:paraId="13B07CB0" w14:textId="77777777" w:rsidR="004C20D4" w:rsidRPr="00E34E72" w:rsidRDefault="004C20D4" w:rsidP="00D94DA5">
      <w:pPr>
        <w:pStyle w:val="ListParagraph"/>
        <w:autoSpaceDE w:val="0"/>
        <w:autoSpaceDN w:val="0"/>
        <w:adjustRightInd w:val="0"/>
        <w:spacing w:after="0" w:line="360" w:lineRule="auto"/>
        <w:jc w:val="both"/>
        <w:rPr>
          <w:rFonts w:ascii="Arial" w:hAnsi="Arial" w:cs="Arial"/>
          <w:b/>
          <w:lang w:val="en-US"/>
        </w:rPr>
      </w:pPr>
      <w:r w:rsidRPr="00E34E72">
        <w:rPr>
          <w:rFonts w:ascii="Arial" w:hAnsi="Arial" w:cs="Arial"/>
          <w:b/>
          <w:lang w:val="en-US"/>
        </w:rPr>
        <w:t>Diaspora</w:t>
      </w:r>
    </w:p>
    <w:p w14:paraId="74AC3643" w14:textId="77777777" w:rsidR="004C20D4" w:rsidRPr="00E34E72" w:rsidRDefault="004C20D4" w:rsidP="006A6B4B">
      <w:pPr>
        <w:autoSpaceDE w:val="0"/>
        <w:autoSpaceDN w:val="0"/>
        <w:adjustRightInd w:val="0"/>
        <w:spacing w:after="0" w:line="360" w:lineRule="auto"/>
        <w:jc w:val="both"/>
        <w:rPr>
          <w:rFonts w:ascii="Arial" w:hAnsi="Arial" w:cs="Arial"/>
          <w:lang w:val="en-US"/>
        </w:rPr>
      </w:pPr>
      <w:r w:rsidRPr="00E34E72">
        <w:rPr>
          <w:rFonts w:ascii="Arial" w:hAnsi="Arial" w:cs="Arial"/>
          <w:lang w:val="en-US"/>
        </w:rPr>
        <w:t xml:space="preserve">Starting with identifying, mapping and getting to know the diaspora, </w:t>
      </w:r>
      <w:r w:rsidR="009F42D9" w:rsidRPr="00E34E72">
        <w:rPr>
          <w:rFonts w:ascii="Arial" w:hAnsi="Arial" w:cs="Arial"/>
          <w:lang w:val="en-US"/>
        </w:rPr>
        <w:t>GFMD</w:t>
      </w:r>
      <w:r w:rsidR="009E267F" w:rsidRPr="00E34E72">
        <w:rPr>
          <w:rFonts w:ascii="Arial" w:hAnsi="Arial" w:cs="Arial"/>
          <w:lang w:val="en-US"/>
        </w:rPr>
        <w:t xml:space="preserve"> </w:t>
      </w:r>
      <w:r w:rsidRPr="00E34E72">
        <w:rPr>
          <w:rFonts w:ascii="Arial" w:hAnsi="Arial" w:cs="Arial"/>
          <w:lang w:val="en-US"/>
        </w:rPr>
        <w:t>discussion</w:t>
      </w:r>
      <w:r w:rsidR="009F42D9" w:rsidRPr="00E34E72">
        <w:rPr>
          <w:rFonts w:ascii="Arial" w:hAnsi="Arial" w:cs="Arial"/>
          <w:lang w:val="en-US"/>
        </w:rPr>
        <w:t>s</w:t>
      </w:r>
      <w:r w:rsidRPr="00E34E72">
        <w:rPr>
          <w:rFonts w:ascii="Arial" w:hAnsi="Arial" w:cs="Arial"/>
          <w:lang w:val="en-US"/>
        </w:rPr>
        <w:t xml:space="preserve"> focused on empowering and engaging directly with diaspora communities</w:t>
      </w:r>
      <w:r w:rsidR="00593D3B">
        <w:rPr>
          <w:rFonts w:ascii="Arial" w:hAnsi="Arial" w:cs="Arial"/>
          <w:lang w:val="en-US"/>
        </w:rPr>
        <w:t xml:space="preserve">. </w:t>
      </w:r>
      <w:r w:rsidR="004634A9">
        <w:rPr>
          <w:rFonts w:ascii="Arial" w:hAnsi="Arial" w:cs="Arial"/>
          <w:lang w:val="en-US"/>
        </w:rPr>
        <w:t>By providing financial support and transferring know-how, d</w:t>
      </w:r>
      <w:r w:rsidR="00593D3B">
        <w:rPr>
          <w:rFonts w:ascii="Arial" w:hAnsi="Arial" w:cs="Arial"/>
          <w:lang w:val="en-US"/>
        </w:rPr>
        <w:t>iaspora communities have a direct impact on poverty reduction (SDG 1), health of migrants (SDG 3) and gender equality (SDG 5).</w:t>
      </w:r>
      <w:r w:rsidRPr="00E34E72">
        <w:rPr>
          <w:rFonts w:ascii="Arial" w:hAnsi="Arial" w:cs="Arial"/>
          <w:lang w:val="en-US"/>
        </w:rPr>
        <w:t xml:space="preserve"> Recommendations include supporting the capacities of diaspora organizations, fostering dialogue</w:t>
      </w:r>
      <w:r w:rsidR="004F4D87" w:rsidRPr="00E34E72">
        <w:rPr>
          <w:rFonts w:ascii="Arial" w:hAnsi="Arial" w:cs="Arial"/>
          <w:lang w:val="en-US"/>
        </w:rPr>
        <w:t xml:space="preserve"> </w:t>
      </w:r>
      <w:r w:rsidRPr="00E34E72">
        <w:rPr>
          <w:rFonts w:ascii="Arial" w:hAnsi="Arial" w:cs="Arial"/>
          <w:lang w:val="en-US"/>
        </w:rPr>
        <w:t xml:space="preserve">which involves all potential partners (namely local, sub-national and national governments, private sector, non-profit sector, civil society) and promoting coherent governmental responses to create an enabling environment for diaspora activities. This could be accomplished through providing specific cooperation and support structures, allowing dual citizenship, issuing diaspora bonds, offering representation or voting rights, </w:t>
      </w:r>
      <w:r w:rsidR="00A46EB0" w:rsidRPr="00E34E72">
        <w:rPr>
          <w:rFonts w:ascii="Arial" w:hAnsi="Arial" w:cs="Arial"/>
          <w:lang w:val="en-US"/>
        </w:rPr>
        <w:t>involving diaspora in the decision-making process</w:t>
      </w:r>
      <w:r w:rsidR="00C07B65">
        <w:rPr>
          <w:rFonts w:ascii="Arial" w:hAnsi="Arial" w:cs="Arial"/>
          <w:lang w:val="en-US"/>
        </w:rPr>
        <w:t xml:space="preserve"> </w:t>
      </w:r>
      <w:r w:rsidRPr="00E34E72">
        <w:rPr>
          <w:rFonts w:ascii="Arial" w:hAnsi="Arial" w:cs="Arial"/>
          <w:lang w:val="en-US"/>
        </w:rPr>
        <w:t>or facilitating access to public services.</w:t>
      </w:r>
      <w:r w:rsidR="009E267F" w:rsidRPr="00E34E72">
        <w:rPr>
          <w:rFonts w:ascii="Arial" w:hAnsi="Arial" w:cs="Arial"/>
          <w:lang w:val="en-US"/>
        </w:rPr>
        <w:t xml:space="preserve"> Trust building is crucial in this regard, particularly in the case of conflict-induced diaspora</w:t>
      </w:r>
      <w:r w:rsidR="00E974B2">
        <w:rPr>
          <w:rFonts w:ascii="Arial" w:hAnsi="Arial" w:cs="Arial"/>
          <w:lang w:val="en-US"/>
        </w:rPr>
        <w:t xml:space="preserve"> communities</w:t>
      </w:r>
      <w:r w:rsidR="009E267F" w:rsidRPr="00E34E72">
        <w:rPr>
          <w:rFonts w:ascii="Arial" w:hAnsi="Arial" w:cs="Arial"/>
          <w:lang w:val="en-US"/>
        </w:rPr>
        <w:t>.</w:t>
      </w:r>
    </w:p>
    <w:p w14:paraId="0DAAAFBD" w14:textId="77777777" w:rsidR="00CA4D18" w:rsidRPr="00E34E72" w:rsidRDefault="00CA4D18" w:rsidP="006A6B4B">
      <w:pPr>
        <w:autoSpaceDE w:val="0"/>
        <w:autoSpaceDN w:val="0"/>
        <w:adjustRightInd w:val="0"/>
        <w:spacing w:after="0" w:line="360" w:lineRule="auto"/>
        <w:jc w:val="both"/>
        <w:rPr>
          <w:rFonts w:ascii="Arial" w:hAnsi="Arial" w:cs="Arial"/>
          <w:lang w:val="en-US"/>
        </w:rPr>
      </w:pPr>
    </w:p>
    <w:p w14:paraId="6824A1D3" w14:textId="77777777" w:rsidR="00CA4D18" w:rsidRPr="00E34E72" w:rsidRDefault="00CA4D18" w:rsidP="00CA4D1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t>Best Practice Box 2: Diaspora</w:t>
      </w:r>
    </w:p>
    <w:p w14:paraId="60611662" w14:textId="77777777" w:rsidR="00CA4D18" w:rsidRPr="00E34E72" w:rsidRDefault="00CA4D18" w:rsidP="00CA4D1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w:t>
      </w:r>
      <w:hyperlink r:id="rId14" w:history="1">
        <w:r w:rsidRPr="00E34E72">
          <w:rPr>
            <w:rStyle w:val="Hyperlink"/>
            <w:rFonts w:ascii="Arial" w:hAnsi="Arial" w:cs="Arial"/>
            <w:sz w:val="18"/>
            <w:szCs w:val="18"/>
            <w:lang w:val="en-US"/>
          </w:rPr>
          <w:t>Diaspora Business Center</w:t>
        </w:r>
      </w:hyperlink>
      <w:r w:rsidRPr="00E34E72">
        <w:rPr>
          <w:rFonts w:ascii="Arial" w:hAnsi="Arial" w:cs="Arial"/>
          <w:sz w:val="18"/>
          <w:szCs w:val="18"/>
          <w:lang w:val="en-US"/>
        </w:rPr>
        <w:t xml:space="preserve"> is a one stop shop that combines business and social interests, paired with professional know-how by diaspora experts. It aims at making diaspora investment more productive, and establishing a connection between western and emerging markets. Activities include business and project development, sales planning, among others.</w:t>
      </w:r>
    </w:p>
    <w:p w14:paraId="07A49BAD" w14:textId="77777777" w:rsidR="00CA4D18" w:rsidRPr="00E34E72" w:rsidRDefault="00CA4D18" w:rsidP="00CA4D1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In Morocco, the association ‘</w:t>
      </w:r>
      <w:hyperlink r:id="rId15" w:history="1">
        <w:r w:rsidRPr="00E34E72">
          <w:rPr>
            <w:rStyle w:val="Hyperlink"/>
            <w:rFonts w:ascii="Arial" w:hAnsi="Arial" w:cs="Arial"/>
            <w:sz w:val="18"/>
            <w:szCs w:val="18"/>
            <w:lang w:val="en-US"/>
          </w:rPr>
          <w:t>Migration and Development</w:t>
        </w:r>
      </w:hyperlink>
      <w:r w:rsidRPr="00E34E72">
        <w:rPr>
          <w:rFonts w:ascii="Arial" w:hAnsi="Arial" w:cs="Arial"/>
          <w:sz w:val="18"/>
          <w:szCs w:val="18"/>
          <w:lang w:val="en-US"/>
        </w:rPr>
        <w:t>’ is engaged in integrated and participative development with migrants, enhancing the synergies between migrants and their communities of origin. As such, the communities of origin are strongly involved in defining their needs and to ensuring that the migrants’ contributions are factored in when seeking to contribute to the development of the respective communities.</w:t>
      </w:r>
    </w:p>
    <w:p w14:paraId="50F4E8CE" w14:textId="77777777" w:rsidR="00CA4D18" w:rsidRPr="00E34E72" w:rsidRDefault="00BB2A0C" w:rsidP="00CA4D1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w:t>
      </w:r>
      <w:hyperlink r:id="rId16" w:history="1">
        <w:r w:rsidRPr="00E34E72">
          <w:rPr>
            <w:rStyle w:val="Hyperlink"/>
            <w:rFonts w:ascii="Arial" w:hAnsi="Arial" w:cs="Arial"/>
            <w:sz w:val="18"/>
            <w:szCs w:val="18"/>
            <w:lang w:val="en-US"/>
          </w:rPr>
          <w:t>African Diaspora Policy Center</w:t>
        </w:r>
      </w:hyperlink>
      <w:r w:rsidRPr="00E34E72">
        <w:rPr>
          <w:rFonts w:ascii="Arial" w:hAnsi="Arial" w:cs="Arial"/>
          <w:sz w:val="18"/>
          <w:szCs w:val="18"/>
          <w:lang w:val="en-US"/>
        </w:rPr>
        <w:t xml:space="preserve"> aims at strengthening policy making capacities and practical operations of African government officials serving at the newly-formed Diaspora Ministries and related institutions.</w:t>
      </w:r>
    </w:p>
    <w:p w14:paraId="5E940013" w14:textId="77777777" w:rsidR="00CA4D18" w:rsidRPr="00E34E72" w:rsidRDefault="00CA4D18" w:rsidP="006A6B4B">
      <w:pPr>
        <w:autoSpaceDE w:val="0"/>
        <w:autoSpaceDN w:val="0"/>
        <w:adjustRightInd w:val="0"/>
        <w:spacing w:after="0" w:line="360" w:lineRule="auto"/>
        <w:jc w:val="both"/>
        <w:rPr>
          <w:rFonts w:ascii="Arial" w:hAnsi="Arial" w:cs="Arial"/>
          <w:lang w:val="en-US"/>
        </w:rPr>
      </w:pPr>
    </w:p>
    <w:p w14:paraId="6ED3BF8D" w14:textId="77777777" w:rsidR="004C20D4" w:rsidRPr="00E34E72" w:rsidRDefault="004C20D4" w:rsidP="00D94DA5">
      <w:pPr>
        <w:pStyle w:val="ListParagraph"/>
        <w:autoSpaceDE w:val="0"/>
        <w:autoSpaceDN w:val="0"/>
        <w:adjustRightInd w:val="0"/>
        <w:spacing w:after="0" w:line="360" w:lineRule="auto"/>
        <w:jc w:val="both"/>
        <w:rPr>
          <w:rFonts w:ascii="Arial" w:hAnsi="Arial" w:cs="Arial"/>
          <w:b/>
          <w:lang w:val="en-US"/>
        </w:rPr>
      </w:pPr>
      <w:r w:rsidRPr="00E34E72">
        <w:rPr>
          <w:rFonts w:ascii="Arial" w:hAnsi="Arial" w:cs="Arial"/>
          <w:b/>
          <w:lang w:val="en-US"/>
        </w:rPr>
        <w:t>Private Sector Development through Migration</w:t>
      </w:r>
    </w:p>
    <w:p w14:paraId="4C687E95" w14:textId="77777777" w:rsidR="00761B7A" w:rsidRPr="00E34E72" w:rsidRDefault="004C20D4" w:rsidP="006A6B4B">
      <w:pPr>
        <w:spacing w:line="360" w:lineRule="auto"/>
        <w:jc w:val="both"/>
        <w:rPr>
          <w:rFonts w:ascii="Arial" w:hAnsi="Arial" w:cs="Arial"/>
          <w:lang w:val="en-US"/>
        </w:rPr>
      </w:pPr>
      <w:r w:rsidRPr="00E34E72">
        <w:rPr>
          <w:rFonts w:ascii="Arial" w:hAnsi="Arial" w:cs="Arial"/>
          <w:lang w:val="en-US"/>
        </w:rPr>
        <w:t xml:space="preserve">Recommendations directed at fostering private sector development through migration center around three broad topics: 1) Supporting migrant and diaspora entrepreneurship is seen as an important step to create employment in host countries </w:t>
      </w:r>
      <w:r w:rsidR="002A4B28" w:rsidRPr="00E34E72">
        <w:rPr>
          <w:rFonts w:ascii="Arial" w:hAnsi="Arial" w:cs="Arial"/>
          <w:lang w:val="en-US"/>
        </w:rPr>
        <w:t>and in</w:t>
      </w:r>
      <w:r w:rsidRPr="00E34E72">
        <w:rPr>
          <w:rFonts w:ascii="Arial" w:hAnsi="Arial" w:cs="Arial"/>
          <w:lang w:val="en-US"/>
        </w:rPr>
        <w:t xml:space="preserve"> countries of origin</w:t>
      </w:r>
      <w:r w:rsidR="005E5A85">
        <w:rPr>
          <w:rFonts w:ascii="Arial" w:hAnsi="Arial" w:cs="Arial"/>
          <w:lang w:val="en-US"/>
        </w:rPr>
        <w:t xml:space="preserve"> </w:t>
      </w:r>
      <w:r w:rsidRPr="00E34E72">
        <w:rPr>
          <w:rFonts w:ascii="Arial" w:hAnsi="Arial" w:cs="Arial"/>
          <w:lang w:val="en-US"/>
        </w:rPr>
        <w:t>as well as a source of</w:t>
      </w:r>
      <w:r w:rsidR="005E5A85">
        <w:rPr>
          <w:rFonts w:ascii="Arial" w:hAnsi="Arial" w:cs="Arial"/>
          <w:lang w:val="en-US"/>
        </w:rPr>
        <w:t xml:space="preserve"> industrialization,</w:t>
      </w:r>
      <w:r w:rsidRPr="00E34E72">
        <w:rPr>
          <w:rFonts w:ascii="Arial" w:hAnsi="Arial" w:cs="Arial"/>
          <w:lang w:val="en-US"/>
        </w:rPr>
        <w:t xml:space="preserve"> innovation and trade</w:t>
      </w:r>
      <w:r w:rsidR="005E5A85">
        <w:rPr>
          <w:rFonts w:ascii="Arial" w:hAnsi="Arial" w:cs="Arial"/>
          <w:lang w:val="en-US"/>
        </w:rPr>
        <w:t xml:space="preserve"> (SDG 9)</w:t>
      </w:r>
      <w:r w:rsidRPr="00E34E72">
        <w:rPr>
          <w:rFonts w:ascii="Arial" w:hAnsi="Arial" w:cs="Arial"/>
          <w:lang w:val="en-US"/>
        </w:rPr>
        <w:t xml:space="preserve">. </w:t>
      </w:r>
      <w:r w:rsidR="00B201D2">
        <w:rPr>
          <w:rFonts w:ascii="Arial" w:hAnsi="Arial" w:cs="Arial"/>
          <w:lang w:val="en-US"/>
        </w:rPr>
        <w:t>P</w:t>
      </w:r>
      <w:r w:rsidR="004634A9">
        <w:rPr>
          <w:rFonts w:ascii="Arial" w:hAnsi="Arial" w:cs="Arial"/>
          <w:lang w:val="en-US"/>
        </w:rPr>
        <w:t xml:space="preserve">rivate </w:t>
      </w:r>
      <w:r w:rsidR="00B201D2">
        <w:rPr>
          <w:rFonts w:ascii="Arial" w:hAnsi="Arial" w:cs="Arial"/>
          <w:lang w:val="en-US"/>
        </w:rPr>
        <w:t>S</w:t>
      </w:r>
      <w:r w:rsidR="004634A9">
        <w:rPr>
          <w:rFonts w:ascii="Arial" w:hAnsi="Arial" w:cs="Arial"/>
          <w:lang w:val="en-US"/>
        </w:rPr>
        <w:t xml:space="preserve">ector </w:t>
      </w:r>
      <w:r w:rsidR="00B201D2">
        <w:rPr>
          <w:rFonts w:ascii="Arial" w:hAnsi="Arial" w:cs="Arial"/>
          <w:lang w:val="en-US"/>
        </w:rPr>
        <w:t>D</w:t>
      </w:r>
      <w:r w:rsidR="004634A9">
        <w:rPr>
          <w:rFonts w:ascii="Arial" w:hAnsi="Arial" w:cs="Arial"/>
          <w:lang w:val="en-US"/>
        </w:rPr>
        <w:t>evelopment</w:t>
      </w:r>
      <w:r w:rsidR="00B201D2">
        <w:rPr>
          <w:rFonts w:ascii="Arial" w:hAnsi="Arial" w:cs="Arial"/>
          <w:lang w:val="en-US"/>
        </w:rPr>
        <w:t xml:space="preserve"> also</w:t>
      </w:r>
      <w:r w:rsidR="00B201D2" w:rsidRPr="00B201D2">
        <w:rPr>
          <w:rFonts w:ascii="Arial" w:hAnsi="Arial" w:cs="Arial"/>
          <w:lang w:val="en-US"/>
        </w:rPr>
        <w:t xml:space="preserve"> </w:t>
      </w:r>
      <w:r w:rsidR="00B201D2" w:rsidRPr="00B201D2">
        <w:rPr>
          <w:rFonts w:ascii="Arial" w:hAnsi="Arial" w:cs="Arial"/>
          <w:lang w:val="en-US"/>
        </w:rPr>
        <w:lastRenderedPageBreak/>
        <w:t>contribute</w:t>
      </w:r>
      <w:r w:rsidR="00B201D2">
        <w:rPr>
          <w:rFonts w:ascii="Arial" w:hAnsi="Arial" w:cs="Arial"/>
          <w:lang w:val="en-US"/>
        </w:rPr>
        <w:t>s</w:t>
      </w:r>
      <w:r w:rsidR="00B201D2" w:rsidRPr="00B201D2">
        <w:rPr>
          <w:rFonts w:ascii="Arial" w:hAnsi="Arial" w:cs="Arial"/>
          <w:lang w:val="en-US"/>
        </w:rPr>
        <w:t xml:space="preserve"> to the achievement of SDGs 2, 9 and 14 by lowering migration pressure and creating employment opportunities in countries of origin. </w:t>
      </w:r>
      <w:r w:rsidRPr="00E34E72">
        <w:rPr>
          <w:rFonts w:ascii="Arial" w:hAnsi="Arial" w:cs="Arial"/>
          <w:lang w:val="en-US"/>
        </w:rPr>
        <w:t>2) Legislative frameworks and policymaking should therefore be concerned with the specific needs of migrant and diaspora entrepreneurs, provide tax and investment incentives to promote the creation of SMEs, and facilitate the exchange of knowledge and technology transfer. 3) The private sector should also be regarded as an important dialogue partner on migration and development issues.</w:t>
      </w:r>
    </w:p>
    <w:p w14:paraId="5FCCE56E" w14:textId="77777777" w:rsidR="00BB2A0C" w:rsidRPr="00E34E72" w:rsidRDefault="00BB2A0C" w:rsidP="00BB2A0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t>Best Practice Box 3: Private Sector Development through Migration</w:t>
      </w:r>
    </w:p>
    <w:p w14:paraId="528A9BDB" w14:textId="77777777" w:rsidR="00BB2A0C" w:rsidRPr="00E34E72" w:rsidRDefault="0036481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hyperlink r:id="rId17" w:history="1">
        <w:r w:rsidR="00BB2A0C" w:rsidRPr="00E34E72">
          <w:rPr>
            <w:rStyle w:val="Hyperlink"/>
            <w:rFonts w:ascii="Arial" w:hAnsi="Arial" w:cs="Arial"/>
            <w:sz w:val="18"/>
            <w:szCs w:val="18"/>
            <w:lang w:val="en-US"/>
          </w:rPr>
          <w:t>Migration Tools – Options for Sustainability</w:t>
        </w:r>
      </w:hyperlink>
      <w:r w:rsidR="00BB2A0C" w:rsidRPr="00E34E72">
        <w:rPr>
          <w:rFonts w:ascii="Arial" w:hAnsi="Arial" w:cs="Arial"/>
          <w:sz w:val="18"/>
          <w:szCs w:val="18"/>
          <w:lang w:val="en-US"/>
        </w:rPr>
        <w:t xml:space="preserve"> (MITOS), developed by the German development agency (GIZ)</w:t>
      </w:r>
      <w:r w:rsidR="00287A62" w:rsidRPr="00E34E72">
        <w:rPr>
          <w:rFonts w:ascii="Arial" w:hAnsi="Arial" w:cs="Arial"/>
          <w:sz w:val="18"/>
          <w:szCs w:val="18"/>
          <w:lang w:val="en-US"/>
        </w:rPr>
        <w:t xml:space="preserve"> on behalf of the German </w:t>
      </w:r>
      <w:r w:rsidR="004F6653">
        <w:rPr>
          <w:rFonts w:ascii="Arial" w:hAnsi="Arial" w:cs="Arial"/>
          <w:sz w:val="18"/>
          <w:szCs w:val="18"/>
          <w:lang w:val="en-US"/>
        </w:rPr>
        <w:t>G</w:t>
      </w:r>
      <w:r w:rsidR="00287A62" w:rsidRPr="00E34E72">
        <w:rPr>
          <w:rFonts w:ascii="Arial" w:hAnsi="Arial" w:cs="Arial"/>
          <w:sz w:val="18"/>
          <w:szCs w:val="18"/>
          <w:lang w:val="en-US"/>
        </w:rPr>
        <w:t>overnment</w:t>
      </w:r>
      <w:r w:rsidR="00BB2A0C" w:rsidRPr="00E34E72">
        <w:rPr>
          <w:rFonts w:ascii="Arial" w:hAnsi="Arial" w:cs="Arial"/>
          <w:sz w:val="18"/>
          <w:szCs w:val="18"/>
          <w:lang w:val="en-US"/>
        </w:rPr>
        <w:t>, offers a set of tools that help leveraging the potential of migration for private sector development and provide complementary options for programs aiming at sustainable economic development.</w:t>
      </w:r>
    </w:p>
    <w:p w14:paraId="2A89F3CE"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w:t>
      </w:r>
      <w:hyperlink r:id="rId18" w:history="1">
        <w:r w:rsidRPr="00E34E72">
          <w:rPr>
            <w:rStyle w:val="Hyperlink"/>
            <w:rFonts w:ascii="Arial" w:hAnsi="Arial" w:cs="Arial"/>
            <w:sz w:val="18"/>
            <w:szCs w:val="18"/>
            <w:lang w:val="en-US"/>
          </w:rPr>
          <w:t>Business-City Partnership Project</w:t>
        </w:r>
      </w:hyperlink>
      <w:r w:rsidRPr="00E34E72">
        <w:rPr>
          <w:rFonts w:ascii="Arial" w:hAnsi="Arial" w:cs="Arial"/>
          <w:sz w:val="18"/>
          <w:szCs w:val="18"/>
          <w:lang w:val="en-US"/>
        </w:rPr>
        <w:t xml:space="preserve"> is a pilot focusing on creating partnerships between the city government and local businesses for the purpose of improving migration and labor market outcomes in Rotterdam, Netherlands. </w:t>
      </w:r>
    </w:p>
    <w:p w14:paraId="095AF81C"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Swiss </w:t>
      </w:r>
      <w:hyperlink r:id="rId19" w:history="1">
        <w:r w:rsidRPr="00E34E72">
          <w:rPr>
            <w:rStyle w:val="Hyperlink"/>
            <w:rFonts w:ascii="Arial" w:hAnsi="Arial" w:cs="Arial"/>
            <w:sz w:val="18"/>
            <w:szCs w:val="18"/>
            <w:lang w:val="en-US"/>
          </w:rPr>
          <w:t>SECO Start-Up fund</w:t>
        </w:r>
      </w:hyperlink>
      <w:r w:rsidRPr="00E34E72">
        <w:rPr>
          <w:rFonts w:ascii="Arial" w:hAnsi="Arial" w:cs="Arial"/>
          <w:sz w:val="18"/>
          <w:szCs w:val="18"/>
          <w:lang w:val="en-US"/>
        </w:rPr>
        <w:t xml:space="preserve"> promotes long-term, sustainable and broad-based growth in developing and emerging countries, for example by providing debt financing to Swiss individuals or companies who plan to create and invest into a business venture in partner countries.</w:t>
      </w:r>
    </w:p>
    <w:p w14:paraId="01ED0E96" w14:textId="77777777" w:rsidR="00744E21" w:rsidRPr="00E34E72" w:rsidRDefault="00744E21" w:rsidP="00BB2A0C">
      <w:pPr>
        <w:spacing w:after="0" w:line="360" w:lineRule="auto"/>
        <w:jc w:val="both"/>
        <w:rPr>
          <w:rFonts w:ascii="Arial" w:hAnsi="Arial" w:cs="Arial"/>
          <w:lang w:val="en-US"/>
        </w:rPr>
      </w:pPr>
    </w:p>
    <w:p w14:paraId="7E553DBF" w14:textId="77777777" w:rsidR="004C20D4" w:rsidRPr="004F6653" w:rsidRDefault="004C20D4" w:rsidP="00F47C7C">
      <w:pPr>
        <w:pStyle w:val="ListParagraph"/>
        <w:autoSpaceDE w:val="0"/>
        <w:autoSpaceDN w:val="0"/>
        <w:adjustRightInd w:val="0"/>
        <w:spacing w:after="0" w:line="360" w:lineRule="auto"/>
        <w:jc w:val="both"/>
        <w:rPr>
          <w:rFonts w:ascii="Arial" w:hAnsi="Arial" w:cs="Arial"/>
          <w:b/>
          <w:lang w:val="en-US"/>
        </w:rPr>
      </w:pPr>
      <w:r w:rsidRPr="004F6653">
        <w:rPr>
          <w:rFonts w:ascii="Arial" w:hAnsi="Arial" w:cs="Arial"/>
          <w:b/>
          <w:lang w:val="en-US"/>
        </w:rPr>
        <w:t>Labor Migration</w:t>
      </w:r>
    </w:p>
    <w:p w14:paraId="272EBD81" w14:textId="77777777" w:rsidR="004C20D4" w:rsidRPr="00E34E72" w:rsidRDefault="008A4E97" w:rsidP="006A6B4B">
      <w:pPr>
        <w:spacing w:line="360" w:lineRule="auto"/>
        <w:jc w:val="both"/>
        <w:rPr>
          <w:rFonts w:ascii="Arial" w:hAnsi="Arial" w:cs="Arial"/>
          <w:lang w:val="en-US"/>
        </w:rPr>
      </w:pPr>
      <w:r w:rsidRPr="00E34E72">
        <w:rPr>
          <w:rFonts w:ascii="Arial" w:hAnsi="Arial" w:cs="Arial"/>
          <w:lang w:val="en-US"/>
        </w:rPr>
        <w:t xml:space="preserve">Past GFMD </w:t>
      </w:r>
      <w:r w:rsidR="004C20D4" w:rsidRPr="00E34E72">
        <w:rPr>
          <w:rFonts w:ascii="Arial" w:hAnsi="Arial" w:cs="Arial"/>
          <w:lang w:val="en-US"/>
        </w:rPr>
        <w:t>roundtables identified the need for better management of human resources as a key factor for labor migration. The recommendations focus on effective partnership between countries of origin and destination</w:t>
      </w:r>
      <w:r w:rsidRPr="00E34E72">
        <w:rPr>
          <w:rFonts w:ascii="Arial" w:hAnsi="Arial" w:cs="Arial"/>
          <w:lang w:val="en-US"/>
        </w:rPr>
        <w:t xml:space="preserve"> based upon an international matching of demand and supply of labor</w:t>
      </w:r>
      <w:r w:rsidR="004C20D4" w:rsidRPr="00E34E72">
        <w:rPr>
          <w:rFonts w:ascii="Arial" w:hAnsi="Arial" w:cs="Arial"/>
          <w:lang w:val="en-US"/>
        </w:rPr>
        <w:t>, better work conditions and protection for migrants. Ideas to facilitate labor migration include the portability of pensions and other social rights across countries, the reduction of recruitment costs for migrants</w:t>
      </w:r>
      <w:r w:rsidR="00AA63E9" w:rsidRPr="00E34E72">
        <w:rPr>
          <w:rFonts w:ascii="Arial" w:hAnsi="Arial" w:cs="Arial"/>
          <w:lang w:val="en-US"/>
        </w:rPr>
        <w:t>,</w:t>
      </w:r>
      <w:r w:rsidR="00F01D7B" w:rsidRPr="00E34E72">
        <w:rPr>
          <w:rFonts w:ascii="Arial" w:hAnsi="Arial" w:cs="Arial"/>
          <w:lang w:val="en-US"/>
        </w:rPr>
        <w:t xml:space="preserve"> </w:t>
      </w:r>
      <w:r w:rsidR="00287A62" w:rsidRPr="00E34E72">
        <w:rPr>
          <w:rFonts w:ascii="Arial" w:hAnsi="Arial" w:cs="Arial"/>
          <w:lang w:val="en-US"/>
        </w:rPr>
        <w:t>including market analysis and studies on recruitment costs</w:t>
      </w:r>
      <w:r w:rsidR="00F01D7B" w:rsidRPr="00E34E72">
        <w:rPr>
          <w:rFonts w:ascii="Arial" w:hAnsi="Arial" w:cs="Arial"/>
          <w:lang w:val="en-US"/>
        </w:rPr>
        <w:t>,</w:t>
      </w:r>
      <w:r w:rsidR="00AA63E9" w:rsidRPr="00E34E72">
        <w:rPr>
          <w:rFonts w:ascii="Arial" w:hAnsi="Arial" w:cs="Arial"/>
          <w:lang w:val="en-US"/>
        </w:rPr>
        <w:t xml:space="preserve"> </w:t>
      </w:r>
      <w:r w:rsidR="00F7286F" w:rsidRPr="00E34E72">
        <w:rPr>
          <w:rFonts w:ascii="Arial" w:hAnsi="Arial" w:cs="Arial"/>
          <w:lang w:val="en-US"/>
        </w:rPr>
        <w:t xml:space="preserve">the promotion of </w:t>
      </w:r>
      <w:r w:rsidR="00287A62" w:rsidRPr="00E34E72">
        <w:rPr>
          <w:rFonts w:ascii="Arial" w:hAnsi="Arial" w:cs="Arial"/>
          <w:lang w:val="en-US"/>
        </w:rPr>
        <w:t xml:space="preserve">fair and ethical recruitment procedures </w:t>
      </w:r>
      <w:r w:rsidR="004C20D4" w:rsidRPr="00E34E72">
        <w:rPr>
          <w:rFonts w:ascii="Arial" w:hAnsi="Arial" w:cs="Arial"/>
          <w:lang w:val="en-US"/>
        </w:rPr>
        <w:t>and bilateral (circular</w:t>
      </w:r>
      <w:r w:rsidR="00287A62" w:rsidRPr="00E34E72">
        <w:rPr>
          <w:rFonts w:ascii="Arial" w:hAnsi="Arial" w:cs="Arial"/>
          <w:lang w:val="en-US"/>
        </w:rPr>
        <w:t>/seasonal/cross-border</w:t>
      </w:r>
      <w:r w:rsidR="004C20D4" w:rsidRPr="00E34E72">
        <w:rPr>
          <w:rFonts w:ascii="Arial" w:hAnsi="Arial" w:cs="Arial"/>
          <w:lang w:val="en-US"/>
        </w:rPr>
        <w:t>) labor agreements</w:t>
      </w:r>
      <w:r w:rsidR="00DF0628">
        <w:rPr>
          <w:rFonts w:ascii="Arial" w:hAnsi="Arial" w:cs="Arial"/>
          <w:lang w:val="en-US"/>
        </w:rPr>
        <w:t xml:space="preserve"> (</w:t>
      </w:r>
      <w:r w:rsidR="00DF0628" w:rsidRPr="00E974B2">
        <w:rPr>
          <w:rFonts w:ascii="Arial" w:hAnsi="Arial" w:cs="Arial"/>
          <w:lang w:val="en-US"/>
        </w:rPr>
        <w:t>SDGs 8.8 and 10.7; AAAA §111).</w:t>
      </w:r>
      <w:r w:rsidR="004C20D4" w:rsidRPr="00E34E72">
        <w:rPr>
          <w:rFonts w:ascii="Arial" w:hAnsi="Arial" w:cs="Arial"/>
          <w:lang w:val="en-US"/>
        </w:rPr>
        <w:t xml:space="preserve"> Increased international cooperation in </w:t>
      </w:r>
      <w:r w:rsidRPr="00E34E72">
        <w:rPr>
          <w:rFonts w:ascii="Arial" w:hAnsi="Arial" w:cs="Arial"/>
          <w:lang w:val="en-US"/>
        </w:rPr>
        <w:t xml:space="preserve">(vocational) </w:t>
      </w:r>
      <w:r w:rsidR="004C20D4" w:rsidRPr="00E34E72">
        <w:rPr>
          <w:rFonts w:ascii="Arial" w:hAnsi="Arial" w:cs="Arial"/>
          <w:lang w:val="en-US"/>
        </w:rPr>
        <w:t>education</w:t>
      </w:r>
      <w:r w:rsidRPr="00E34E72">
        <w:rPr>
          <w:rFonts w:ascii="Arial" w:hAnsi="Arial" w:cs="Arial"/>
          <w:lang w:val="en-US"/>
        </w:rPr>
        <w:t xml:space="preserve"> and recognition of skills</w:t>
      </w:r>
      <w:r w:rsidR="004C20D4" w:rsidRPr="00E34E72">
        <w:rPr>
          <w:rFonts w:ascii="Arial" w:hAnsi="Arial" w:cs="Arial"/>
          <w:lang w:val="en-US"/>
        </w:rPr>
        <w:t xml:space="preserve"> (e.g. through mutual recognition agreements, more transparent recruitment processes or skills partnerships) could further enhance the developmental impact on labor migration</w:t>
      </w:r>
      <w:r w:rsidR="00B201D2">
        <w:rPr>
          <w:rFonts w:ascii="Arial" w:hAnsi="Arial" w:cs="Arial"/>
          <w:lang w:val="en-US"/>
        </w:rPr>
        <w:t xml:space="preserve">. </w:t>
      </w:r>
      <w:r w:rsidR="004947D0">
        <w:rPr>
          <w:rFonts w:ascii="Arial" w:hAnsi="Arial" w:cs="Arial"/>
          <w:lang w:val="en-US"/>
        </w:rPr>
        <w:t xml:space="preserve">The negotiation and adoption of </w:t>
      </w:r>
      <w:r w:rsidR="004947D0" w:rsidRPr="00B44154">
        <w:rPr>
          <w:rFonts w:ascii="Arial" w:hAnsi="Arial" w:cs="Arial"/>
          <w:lang w:val="en-US"/>
        </w:rPr>
        <w:t>well-managed labor agreements and skills partnerships</w:t>
      </w:r>
      <w:r w:rsidR="004947D0">
        <w:rPr>
          <w:rFonts w:ascii="Arial" w:hAnsi="Arial" w:cs="Arial"/>
          <w:lang w:val="en-US"/>
        </w:rPr>
        <w:t xml:space="preserve"> between countries of origin and </w:t>
      </w:r>
      <w:r w:rsidR="00B44154">
        <w:rPr>
          <w:rFonts w:ascii="Arial" w:hAnsi="Arial" w:cs="Arial"/>
          <w:lang w:val="en-US"/>
        </w:rPr>
        <w:t>destination</w:t>
      </w:r>
      <w:r w:rsidR="004947D0" w:rsidRPr="00B44154">
        <w:rPr>
          <w:rFonts w:ascii="Arial" w:hAnsi="Arial" w:cs="Arial"/>
          <w:lang w:val="en-US"/>
        </w:rPr>
        <w:t xml:space="preserve"> foster a truly cooperative spirit and can thus contribute to the achievement of </w:t>
      </w:r>
      <w:r w:rsidR="00E974B2">
        <w:rPr>
          <w:rFonts w:ascii="Arial" w:hAnsi="Arial" w:cs="Arial"/>
          <w:lang w:val="en-US"/>
        </w:rPr>
        <w:t>SDG</w:t>
      </w:r>
      <w:r w:rsidR="004947D0" w:rsidRPr="00B44154">
        <w:rPr>
          <w:rFonts w:ascii="Arial" w:hAnsi="Arial" w:cs="Arial"/>
          <w:lang w:val="en-US"/>
        </w:rPr>
        <w:t xml:space="preserve"> 17.</w:t>
      </w:r>
    </w:p>
    <w:p w14:paraId="4728C4AC" w14:textId="77777777" w:rsidR="00BB2A0C" w:rsidRPr="00E34E72" w:rsidRDefault="00BB2A0C" w:rsidP="00BB2A0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t>Best Practice Box 4: Labor Migration</w:t>
      </w:r>
    </w:p>
    <w:p w14:paraId="020DC6EA"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In 2014, ILO called for an </w:t>
      </w:r>
      <w:hyperlink r:id="rId20" w:history="1">
        <w:r w:rsidRPr="00E34E72">
          <w:rPr>
            <w:rStyle w:val="Hyperlink"/>
            <w:rFonts w:ascii="Arial" w:hAnsi="Arial" w:cs="Arial"/>
            <w:sz w:val="18"/>
            <w:szCs w:val="18"/>
            <w:lang w:val="en-US"/>
          </w:rPr>
          <w:t>Agenda for Fair Migration</w:t>
        </w:r>
      </w:hyperlink>
      <w:r w:rsidRPr="00E34E72">
        <w:rPr>
          <w:rFonts w:ascii="Arial" w:hAnsi="Arial" w:cs="Arial"/>
          <w:sz w:val="18"/>
          <w:szCs w:val="18"/>
          <w:lang w:val="en-US"/>
        </w:rPr>
        <w:t>, pointing at challenges affecting migrant workers, like abusive recruitment practices. The initiative focuses on enhancing knowledge on recruitment practices, improving laws to promote fair recruitment practices, and empowering and protecting migrant workers.</w:t>
      </w:r>
    </w:p>
    <w:p w14:paraId="6594BCF9"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Similarly, the </w:t>
      </w:r>
      <w:hyperlink r:id="rId21" w:history="1">
        <w:r w:rsidRPr="00E34E72">
          <w:rPr>
            <w:rStyle w:val="Hyperlink"/>
            <w:rFonts w:ascii="Arial" w:hAnsi="Arial" w:cs="Arial"/>
            <w:sz w:val="18"/>
            <w:szCs w:val="18"/>
            <w:lang w:val="en-US"/>
          </w:rPr>
          <w:t>International Recruitment Integrity System</w:t>
        </w:r>
      </w:hyperlink>
      <w:r w:rsidRPr="00E34E72">
        <w:rPr>
          <w:rFonts w:ascii="Arial" w:hAnsi="Arial" w:cs="Arial"/>
          <w:sz w:val="18"/>
          <w:szCs w:val="18"/>
          <w:lang w:val="en-US"/>
        </w:rPr>
        <w:t xml:space="preserve"> (IRIS), an international voluntary “ethical recruitment” framework, benefits all stakeholders in the labor migration process. It provides a platform for addressing unfair recruitment and bridges international regulatory gaps.</w:t>
      </w:r>
    </w:p>
    <w:p w14:paraId="6E70AE06" w14:textId="02F825ED" w:rsidR="000648BE" w:rsidRDefault="00BB2A0C" w:rsidP="00F47C7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Various countries, e.g. Albania, Egypt, Greece, and Mexico, negotiated </w:t>
      </w:r>
      <w:hyperlink r:id="rId22" w:history="1">
        <w:r w:rsidRPr="00E34E72">
          <w:rPr>
            <w:rStyle w:val="Hyperlink"/>
            <w:rFonts w:ascii="Arial" w:hAnsi="Arial" w:cs="Arial"/>
            <w:sz w:val="18"/>
            <w:szCs w:val="18"/>
            <w:lang w:val="en-US"/>
          </w:rPr>
          <w:t>bilateral labor agreements</w:t>
        </w:r>
      </w:hyperlink>
      <w:r w:rsidRPr="00E34E72">
        <w:rPr>
          <w:rFonts w:ascii="Arial" w:hAnsi="Arial" w:cs="Arial"/>
          <w:sz w:val="18"/>
          <w:szCs w:val="18"/>
          <w:lang w:val="en-US"/>
        </w:rPr>
        <w:t xml:space="preserve"> that facilitate, regulate and monitor legal access to labor markets, taking into account the needs of the respective labor markets.</w:t>
      </w:r>
    </w:p>
    <w:p w14:paraId="04D3B0BF" w14:textId="77777777" w:rsidR="00F47C7C" w:rsidRPr="00F47C7C" w:rsidRDefault="00F47C7C" w:rsidP="00F47C7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rFonts w:ascii="Arial" w:hAnsi="Arial" w:cs="Arial"/>
          <w:sz w:val="18"/>
          <w:szCs w:val="18"/>
          <w:lang w:val="en-US"/>
        </w:rPr>
      </w:pPr>
    </w:p>
    <w:p w14:paraId="6D3850EB" w14:textId="77777777" w:rsidR="00F47C7C" w:rsidRDefault="00F47C7C" w:rsidP="004F6653">
      <w:pPr>
        <w:pStyle w:val="ListParagraph"/>
        <w:spacing w:after="0" w:line="360" w:lineRule="auto"/>
        <w:jc w:val="both"/>
        <w:rPr>
          <w:rFonts w:ascii="Arial" w:hAnsi="Arial" w:cs="Arial"/>
          <w:b/>
          <w:lang w:val="en-US"/>
        </w:rPr>
      </w:pPr>
    </w:p>
    <w:p w14:paraId="73D106F3" w14:textId="3547C623" w:rsidR="004C20D4" w:rsidRPr="00E34E72" w:rsidRDefault="00F47C7C" w:rsidP="004F6653">
      <w:pPr>
        <w:pStyle w:val="ListParagraph"/>
        <w:spacing w:after="0" w:line="360" w:lineRule="auto"/>
        <w:jc w:val="both"/>
        <w:rPr>
          <w:rFonts w:ascii="Arial" w:hAnsi="Arial" w:cs="Arial"/>
          <w:b/>
          <w:lang w:val="en-US"/>
        </w:rPr>
      </w:pPr>
      <w:r>
        <w:rPr>
          <w:rFonts w:ascii="Arial" w:hAnsi="Arial" w:cs="Arial"/>
          <w:b/>
          <w:lang w:val="en-US"/>
        </w:rPr>
        <w:lastRenderedPageBreak/>
        <w:t>Return and Rei</w:t>
      </w:r>
      <w:r w:rsidR="004C20D4" w:rsidRPr="00E34E72">
        <w:rPr>
          <w:rFonts w:ascii="Arial" w:hAnsi="Arial" w:cs="Arial"/>
          <w:b/>
          <w:lang w:val="en-US"/>
        </w:rPr>
        <w:t>ntegration</w:t>
      </w:r>
    </w:p>
    <w:p w14:paraId="35049256" w14:textId="28FBF33B" w:rsidR="004C20D4" w:rsidRPr="00E34E72" w:rsidRDefault="004C20D4" w:rsidP="00BB2A0C">
      <w:pPr>
        <w:spacing w:line="360" w:lineRule="auto"/>
        <w:jc w:val="both"/>
        <w:rPr>
          <w:rFonts w:ascii="Arial" w:hAnsi="Arial" w:cs="Arial"/>
          <w:lang w:val="en-US"/>
        </w:rPr>
      </w:pPr>
      <w:r w:rsidRPr="00E34E72">
        <w:rPr>
          <w:rFonts w:ascii="Arial" w:hAnsi="Arial" w:cs="Arial"/>
          <w:lang w:val="en-US"/>
        </w:rPr>
        <w:t>Due to the highly sensitive nature of the topic, permanent return has not yet figured prominently in GFMD discussions. Nevertheless, the roundtables came up with a range of recommendations on knowledge transfer through temporary return and re-/integration. Providing pre-departure training and preparation for return (e.g. through language and vocational training courses) is seen as a way to enhance the development potential of migration and facilitate re-/integration. Circular migration schemes were often feature</w:t>
      </w:r>
      <w:r w:rsidR="003C504D" w:rsidRPr="00E34E72">
        <w:rPr>
          <w:rFonts w:ascii="Arial" w:hAnsi="Arial" w:cs="Arial"/>
          <w:lang w:val="en-US"/>
        </w:rPr>
        <w:t>d</w:t>
      </w:r>
      <w:r w:rsidRPr="00E34E72">
        <w:rPr>
          <w:rFonts w:ascii="Arial" w:hAnsi="Arial" w:cs="Arial"/>
          <w:lang w:val="en-US"/>
        </w:rPr>
        <w:t xml:space="preserve"> and promoted </w:t>
      </w:r>
      <w:r w:rsidR="008A4E97" w:rsidRPr="00E34E72">
        <w:rPr>
          <w:rFonts w:ascii="Arial" w:hAnsi="Arial" w:cs="Arial"/>
          <w:lang w:val="en-US"/>
        </w:rPr>
        <w:t xml:space="preserve">as </w:t>
      </w:r>
      <w:r w:rsidRPr="00E34E72">
        <w:rPr>
          <w:rFonts w:ascii="Arial" w:hAnsi="Arial" w:cs="Arial"/>
          <w:lang w:val="en-US"/>
        </w:rPr>
        <w:t xml:space="preserve">mutually beneficial policies. Nevertheless, there is still the need for more research and evidence on how to make return and reintegration </w:t>
      </w:r>
      <w:r w:rsidR="008A4E97" w:rsidRPr="00E34E72">
        <w:rPr>
          <w:rFonts w:ascii="Arial" w:hAnsi="Arial" w:cs="Arial"/>
          <w:lang w:val="en-US"/>
        </w:rPr>
        <w:t xml:space="preserve">more </w:t>
      </w:r>
      <w:r w:rsidRPr="00E34E72">
        <w:rPr>
          <w:rFonts w:ascii="Arial" w:hAnsi="Arial" w:cs="Arial"/>
          <w:lang w:val="en-US"/>
        </w:rPr>
        <w:t>development-</w:t>
      </w:r>
      <w:r w:rsidR="00AE4F3C" w:rsidRPr="00E34E72">
        <w:rPr>
          <w:rFonts w:ascii="Arial" w:hAnsi="Arial" w:cs="Arial"/>
          <w:lang w:val="en-US"/>
        </w:rPr>
        <w:t>oriented and sustainable</w:t>
      </w:r>
      <w:r w:rsidR="000648BE">
        <w:rPr>
          <w:rFonts w:ascii="Arial" w:hAnsi="Arial" w:cs="Arial"/>
          <w:lang w:val="en-US"/>
        </w:rPr>
        <w:t xml:space="preserve"> (</w:t>
      </w:r>
      <w:r w:rsidR="00DB723B">
        <w:rPr>
          <w:rFonts w:ascii="Arial" w:hAnsi="Arial" w:cs="Arial"/>
          <w:lang w:val="en-US"/>
        </w:rPr>
        <w:t>SDG</w:t>
      </w:r>
      <w:r w:rsidR="000648BE">
        <w:rPr>
          <w:rFonts w:ascii="Arial" w:hAnsi="Arial" w:cs="Arial"/>
          <w:lang w:val="en-US"/>
        </w:rPr>
        <w:t xml:space="preserve"> 17.18)</w:t>
      </w:r>
      <w:r w:rsidR="00AE4F3C" w:rsidRPr="00E34E72">
        <w:rPr>
          <w:rFonts w:ascii="Arial" w:hAnsi="Arial" w:cs="Arial"/>
          <w:lang w:val="en-US"/>
        </w:rPr>
        <w:t xml:space="preserve"> especially in situations when countries of origin are not able to offer the same economic conditions as countries of destination</w:t>
      </w:r>
      <w:r w:rsidR="003517DA">
        <w:rPr>
          <w:rFonts w:ascii="Arial" w:hAnsi="Arial" w:cs="Arial"/>
          <w:lang w:val="en-US"/>
        </w:rPr>
        <w:t xml:space="preserve">. </w:t>
      </w:r>
      <w:r w:rsidRPr="00E34E72">
        <w:rPr>
          <w:rFonts w:ascii="Arial" w:hAnsi="Arial" w:cs="Arial"/>
          <w:lang w:val="en-US"/>
        </w:rPr>
        <w:t>Identifying key indicators, monitoring the impacts of return and reintegration at all levels, as well as strengthening evaluation capacity have been highlighted to address this need.</w:t>
      </w:r>
      <w:r w:rsidR="009C0C54" w:rsidRPr="00E34E72">
        <w:rPr>
          <w:rFonts w:ascii="Arial" w:hAnsi="Arial" w:cs="Arial"/>
          <w:lang w:val="en-US"/>
        </w:rPr>
        <w:t xml:space="preserve"> </w:t>
      </w:r>
      <w:r w:rsidR="00AE4F3C" w:rsidRPr="00E34E72">
        <w:rPr>
          <w:rFonts w:ascii="Arial" w:hAnsi="Arial" w:cs="Arial"/>
          <w:lang w:val="en-US"/>
        </w:rPr>
        <w:t>Returnees can be easier re-integrated if their skills acquired during their migration fit to the economic system of their country of origin. Direct investments can also create jobs and opportunities for returnees to have access to the labor market of their source countries</w:t>
      </w:r>
      <w:r w:rsidR="00DF0628">
        <w:rPr>
          <w:rFonts w:ascii="Arial" w:hAnsi="Arial" w:cs="Arial"/>
          <w:lang w:val="en-US"/>
        </w:rPr>
        <w:t xml:space="preserve">, thus </w:t>
      </w:r>
      <w:r w:rsidR="00AE4F3C" w:rsidRPr="00E34E72">
        <w:rPr>
          <w:rFonts w:ascii="Arial" w:hAnsi="Arial" w:cs="Arial"/>
          <w:lang w:val="en-US"/>
        </w:rPr>
        <w:t>boost</w:t>
      </w:r>
      <w:r w:rsidR="00DF0628">
        <w:rPr>
          <w:rFonts w:ascii="Arial" w:hAnsi="Arial" w:cs="Arial"/>
          <w:lang w:val="en-US"/>
        </w:rPr>
        <w:t>ing</w:t>
      </w:r>
      <w:r w:rsidR="00AE4F3C" w:rsidRPr="00E34E72">
        <w:rPr>
          <w:rFonts w:ascii="Arial" w:hAnsi="Arial" w:cs="Arial"/>
          <w:lang w:val="en-US"/>
        </w:rPr>
        <w:t xml:space="preserve"> development</w:t>
      </w:r>
      <w:r w:rsidR="000648BE">
        <w:rPr>
          <w:rFonts w:ascii="Arial" w:hAnsi="Arial" w:cs="Arial"/>
          <w:lang w:val="en-US"/>
        </w:rPr>
        <w:t xml:space="preserve">. </w:t>
      </w:r>
      <w:r w:rsidR="00F47C7C">
        <w:rPr>
          <w:rFonts w:ascii="Arial" w:hAnsi="Arial" w:cs="Arial"/>
          <w:lang w:val="en-US"/>
        </w:rPr>
        <w:t>Knowledge</w:t>
      </w:r>
      <w:r w:rsidR="00DF0628">
        <w:rPr>
          <w:rFonts w:ascii="Arial" w:hAnsi="Arial" w:cs="Arial"/>
          <w:lang w:val="en-US"/>
        </w:rPr>
        <w:t xml:space="preserve"> </w:t>
      </w:r>
      <w:r w:rsidR="00DB723B">
        <w:rPr>
          <w:rFonts w:ascii="Arial" w:hAnsi="Arial" w:cs="Arial"/>
          <w:lang w:val="en-US"/>
        </w:rPr>
        <w:t>transfer of returnees, s</w:t>
      </w:r>
      <w:r w:rsidR="000648BE">
        <w:rPr>
          <w:rFonts w:ascii="Arial" w:hAnsi="Arial" w:cs="Arial"/>
          <w:lang w:val="en-US"/>
        </w:rPr>
        <w:t>ustainab</w:t>
      </w:r>
      <w:r w:rsidR="00DB723B">
        <w:rPr>
          <w:rFonts w:ascii="Arial" w:hAnsi="Arial" w:cs="Arial"/>
          <w:lang w:val="en-US"/>
        </w:rPr>
        <w:t>le return and reintegration leads to the promotion of industrialization and fosters innovation at the local level (SDG 9).</w:t>
      </w:r>
      <w:r w:rsidR="00C07B65">
        <w:rPr>
          <w:rFonts w:ascii="Arial" w:hAnsi="Arial" w:cs="Arial"/>
          <w:lang w:val="en-US"/>
        </w:rPr>
        <w:t xml:space="preserve"> </w:t>
      </w:r>
    </w:p>
    <w:p w14:paraId="0B6EC30A" w14:textId="2BD37001" w:rsidR="00BB2A0C" w:rsidRPr="00E34E72" w:rsidRDefault="00BB2A0C" w:rsidP="00BB2A0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t xml:space="preserve">Best Practice Box 5: </w:t>
      </w:r>
      <w:r w:rsidR="00F47C7C">
        <w:rPr>
          <w:rFonts w:ascii="Arial" w:hAnsi="Arial" w:cs="Arial"/>
          <w:b/>
          <w:sz w:val="18"/>
          <w:szCs w:val="18"/>
          <w:lang w:val="en-US"/>
        </w:rPr>
        <w:t>Return and Rei</w:t>
      </w:r>
      <w:r w:rsidRPr="00E34E72">
        <w:rPr>
          <w:rFonts w:ascii="Arial" w:hAnsi="Arial" w:cs="Arial"/>
          <w:b/>
          <w:sz w:val="18"/>
          <w:szCs w:val="18"/>
          <w:lang w:val="en-US"/>
        </w:rPr>
        <w:t>ntegration</w:t>
      </w:r>
    </w:p>
    <w:p w14:paraId="333D0949"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w:t>
      </w:r>
      <w:hyperlink r:id="rId23" w:history="1">
        <w:r w:rsidRPr="00E34E72">
          <w:rPr>
            <w:rStyle w:val="Hyperlink"/>
            <w:rFonts w:ascii="Arial" w:hAnsi="Arial" w:cs="Arial"/>
            <w:sz w:val="18"/>
            <w:szCs w:val="18"/>
            <w:lang w:val="en-US"/>
          </w:rPr>
          <w:t>National Reintegration Centre for Overseas Filipino Workers</w:t>
        </w:r>
      </w:hyperlink>
      <w:r w:rsidRPr="00E34E72">
        <w:rPr>
          <w:rFonts w:ascii="Arial" w:hAnsi="Arial" w:cs="Arial"/>
          <w:sz w:val="18"/>
          <w:szCs w:val="18"/>
          <w:lang w:val="en-US"/>
        </w:rPr>
        <w:t xml:space="preserve"> supports enterprises development among migrants and their families, primarily through the creation of awareness on the value of saving, and empowerment to plan for investment, business, or local employment upon their return.</w:t>
      </w:r>
    </w:p>
    <w:p w14:paraId="479A0744"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The </w:t>
      </w:r>
      <w:hyperlink r:id="rId24" w:history="1">
        <w:r w:rsidRPr="00E34E72">
          <w:rPr>
            <w:rStyle w:val="Hyperlink"/>
            <w:rFonts w:ascii="Arial" w:hAnsi="Arial" w:cs="Arial"/>
            <w:sz w:val="18"/>
            <w:szCs w:val="18"/>
            <w:lang w:val="en-US"/>
          </w:rPr>
          <w:t>Happy Return Programme</w:t>
        </w:r>
      </w:hyperlink>
      <w:r w:rsidRPr="00E34E72">
        <w:rPr>
          <w:rFonts w:ascii="Arial" w:hAnsi="Arial" w:cs="Arial"/>
          <w:sz w:val="18"/>
          <w:szCs w:val="18"/>
          <w:lang w:val="en-US"/>
        </w:rPr>
        <w:t xml:space="preserve"> by the Korean government offers vocational training, pre-return recruitment services and administrative support for migrants that plan to return to their home country.</w:t>
      </w:r>
    </w:p>
    <w:p w14:paraId="7B159C0F" w14:textId="77777777" w:rsidR="00BB2A0C" w:rsidRPr="00E34E72" w:rsidRDefault="00BB2A0C" w:rsidP="00BB2A0C">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sz w:val="18"/>
          <w:szCs w:val="18"/>
          <w:lang w:val="en-US"/>
        </w:rPr>
      </w:pPr>
      <w:r w:rsidRPr="00E34E72">
        <w:rPr>
          <w:rFonts w:ascii="Arial" w:hAnsi="Arial" w:cs="Arial"/>
          <w:sz w:val="18"/>
          <w:szCs w:val="18"/>
          <w:lang w:val="en-US"/>
        </w:rPr>
        <w:t xml:space="preserve">Equally, </w:t>
      </w:r>
      <w:hyperlink r:id="rId25" w:history="1">
        <w:r w:rsidRPr="00E34E72">
          <w:rPr>
            <w:rStyle w:val="Hyperlink"/>
            <w:rFonts w:ascii="Arial" w:hAnsi="Arial" w:cs="Arial"/>
            <w:sz w:val="18"/>
            <w:szCs w:val="18"/>
            <w:lang w:val="en-US"/>
          </w:rPr>
          <w:t>Nepal</w:t>
        </w:r>
      </w:hyperlink>
      <w:r w:rsidRPr="00E34E72">
        <w:rPr>
          <w:rFonts w:ascii="Arial" w:hAnsi="Arial" w:cs="Arial"/>
          <w:sz w:val="18"/>
          <w:szCs w:val="18"/>
          <w:lang w:val="en-US"/>
        </w:rPr>
        <w:t xml:space="preserve"> established public-private partnerships to provide skills training and financial literacy programs for returning migrants.</w:t>
      </w:r>
    </w:p>
    <w:p w14:paraId="2CD19293" w14:textId="77777777" w:rsidR="00844E97" w:rsidRPr="00E34E72" w:rsidRDefault="00844E97" w:rsidP="006A6B4B">
      <w:pPr>
        <w:spacing w:after="0" w:line="360" w:lineRule="auto"/>
        <w:jc w:val="both"/>
        <w:rPr>
          <w:rFonts w:ascii="Arial" w:hAnsi="Arial" w:cs="Arial"/>
          <w:lang w:val="en-US"/>
        </w:rPr>
      </w:pPr>
    </w:p>
    <w:p w14:paraId="7EF0E0D3" w14:textId="044278F9" w:rsidR="004C20D4" w:rsidRPr="00E34E72" w:rsidRDefault="00F47C7C" w:rsidP="00F47C7C">
      <w:pPr>
        <w:pStyle w:val="ListParagraph"/>
        <w:spacing w:after="0" w:line="360" w:lineRule="auto"/>
        <w:jc w:val="both"/>
        <w:rPr>
          <w:rFonts w:ascii="Arial" w:hAnsi="Arial" w:cs="Arial"/>
          <w:b/>
          <w:lang w:val="en-US"/>
        </w:rPr>
      </w:pPr>
      <w:r>
        <w:rPr>
          <w:rFonts w:ascii="Arial" w:hAnsi="Arial" w:cs="Arial"/>
          <w:b/>
          <w:lang w:val="en-US"/>
        </w:rPr>
        <w:t>Migration P</w:t>
      </w:r>
      <w:r w:rsidR="004C20D4" w:rsidRPr="00E34E72">
        <w:rPr>
          <w:rFonts w:ascii="Arial" w:hAnsi="Arial" w:cs="Arial"/>
          <w:b/>
          <w:lang w:val="en-US"/>
        </w:rPr>
        <w:t>olicy</w:t>
      </w:r>
      <w:r>
        <w:rPr>
          <w:rFonts w:ascii="Arial" w:hAnsi="Arial" w:cs="Arial"/>
          <w:b/>
          <w:lang w:val="en-US"/>
        </w:rPr>
        <w:t xml:space="preserve"> and Mainstreaming of M</w:t>
      </w:r>
      <w:r w:rsidR="00043618">
        <w:rPr>
          <w:rFonts w:ascii="Arial" w:hAnsi="Arial" w:cs="Arial"/>
          <w:b/>
          <w:lang w:val="en-US"/>
        </w:rPr>
        <w:t>igration</w:t>
      </w:r>
    </w:p>
    <w:p w14:paraId="79EDED2B" w14:textId="77777777" w:rsidR="009131BD" w:rsidRPr="00E34E72" w:rsidRDefault="004C20D4" w:rsidP="00F47C7C">
      <w:pPr>
        <w:spacing w:after="0" w:line="360" w:lineRule="auto"/>
        <w:jc w:val="both"/>
        <w:rPr>
          <w:rFonts w:ascii="Arial" w:hAnsi="Arial" w:cs="Arial"/>
          <w:lang w:val="en-US"/>
        </w:rPr>
      </w:pPr>
      <w:r w:rsidRPr="00E34E72">
        <w:rPr>
          <w:rFonts w:ascii="Arial" w:hAnsi="Arial" w:cs="Arial"/>
          <w:lang w:val="en-US"/>
        </w:rPr>
        <w:t>The need for global and regional migration regimes as well as development-oriented national migration policies has been articulated a number of times during past GFMD roundtables</w:t>
      </w:r>
      <w:r w:rsidR="00AE4F3C" w:rsidRPr="00E34E72">
        <w:rPr>
          <w:rFonts w:ascii="Arial" w:hAnsi="Arial" w:cs="Arial"/>
          <w:lang w:val="en-US"/>
        </w:rPr>
        <w:t xml:space="preserve"> and constitutes an integral part of SDG 10.7</w:t>
      </w:r>
      <w:r w:rsidRPr="00E34E72">
        <w:rPr>
          <w:rFonts w:ascii="Arial" w:hAnsi="Arial" w:cs="Arial"/>
          <w:lang w:val="en-US"/>
        </w:rPr>
        <w:t xml:space="preserve">. They recommended comprehensive policy frameworks to manage migration to the benefit of all, including the promotion of regular migration that respects the human rights of migrants and reduction of irregular migration. This could be achieved by opening legal channels for migration and cooperating more closely between countries of origin and destination. Additionally, the </w:t>
      </w:r>
      <w:r w:rsidR="00E974B2">
        <w:rPr>
          <w:rFonts w:ascii="Arial" w:hAnsi="Arial" w:cs="Arial"/>
          <w:lang w:val="en-US"/>
        </w:rPr>
        <w:t>GFMD P</w:t>
      </w:r>
      <w:r w:rsidRPr="00E34E72">
        <w:rPr>
          <w:rFonts w:ascii="Arial" w:hAnsi="Arial" w:cs="Arial"/>
          <w:lang w:val="en-US"/>
        </w:rPr>
        <w:t xml:space="preserve">latform for </w:t>
      </w:r>
      <w:r w:rsidR="00E974B2">
        <w:rPr>
          <w:rFonts w:ascii="Arial" w:hAnsi="Arial" w:cs="Arial"/>
          <w:lang w:val="en-US"/>
        </w:rPr>
        <w:t>P</w:t>
      </w:r>
      <w:r w:rsidRPr="00E34E72">
        <w:rPr>
          <w:rFonts w:ascii="Arial" w:hAnsi="Arial" w:cs="Arial"/>
          <w:lang w:val="en-US"/>
        </w:rPr>
        <w:t xml:space="preserve">artnerships presents various good practices for bilateral cooperation on migration issues as well as </w:t>
      </w:r>
      <w:r w:rsidR="003C504D" w:rsidRPr="00E34E72">
        <w:rPr>
          <w:rFonts w:ascii="Arial" w:hAnsi="Arial" w:cs="Arial"/>
          <w:lang w:val="en-US"/>
        </w:rPr>
        <w:t xml:space="preserve">coherent and </w:t>
      </w:r>
      <w:r w:rsidRPr="00E34E72">
        <w:rPr>
          <w:rFonts w:ascii="Arial" w:hAnsi="Arial" w:cs="Arial"/>
          <w:lang w:val="en-US"/>
        </w:rPr>
        <w:t>development-oriented policies</w:t>
      </w:r>
      <w:r w:rsidR="003C504D" w:rsidRPr="00E34E72">
        <w:rPr>
          <w:rFonts w:ascii="Arial" w:hAnsi="Arial" w:cs="Arial"/>
          <w:lang w:val="en-US"/>
        </w:rPr>
        <w:t xml:space="preserve"> on local, sub-national and national levels</w:t>
      </w:r>
      <w:r w:rsidRPr="00E34E72">
        <w:rPr>
          <w:rFonts w:ascii="Arial" w:hAnsi="Arial" w:cs="Arial"/>
          <w:lang w:val="en-US"/>
        </w:rPr>
        <w:t>.</w:t>
      </w:r>
      <w:r w:rsidR="002B3C14">
        <w:rPr>
          <w:rFonts w:ascii="Arial" w:hAnsi="Arial" w:cs="Arial"/>
          <w:lang w:val="en-US"/>
        </w:rPr>
        <w:t xml:space="preserve"> </w:t>
      </w:r>
      <w:r w:rsidR="002B3C14" w:rsidRPr="002B3C14">
        <w:rPr>
          <w:rFonts w:ascii="Arial" w:hAnsi="Arial" w:cs="Arial"/>
          <w:lang w:val="en-US"/>
        </w:rPr>
        <w:t>Most recently, GFMD addressed the issue of migration policy in relation to broader governance issues and linked t</w:t>
      </w:r>
      <w:r w:rsidR="002B3C14">
        <w:rPr>
          <w:rFonts w:ascii="Arial" w:hAnsi="Arial" w:cs="Arial"/>
          <w:lang w:val="en-US"/>
        </w:rPr>
        <w:t>his to the preparations of the Global C</w:t>
      </w:r>
      <w:r w:rsidR="002B3C14" w:rsidRPr="002B3C14">
        <w:rPr>
          <w:rFonts w:ascii="Arial" w:hAnsi="Arial" w:cs="Arial"/>
          <w:lang w:val="en-US"/>
        </w:rPr>
        <w:t>ompact on safe,</w:t>
      </w:r>
      <w:r w:rsidR="002B3C14">
        <w:rPr>
          <w:rFonts w:ascii="Arial" w:hAnsi="Arial" w:cs="Arial"/>
          <w:lang w:val="en-US"/>
        </w:rPr>
        <w:t xml:space="preserve"> orderly and regular M</w:t>
      </w:r>
      <w:r w:rsidR="002B3C14" w:rsidRPr="002B3C14">
        <w:rPr>
          <w:rFonts w:ascii="Arial" w:hAnsi="Arial" w:cs="Arial"/>
          <w:lang w:val="en-US"/>
        </w:rPr>
        <w:t>igration</w:t>
      </w:r>
      <w:r w:rsidR="00DB723B">
        <w:rPr>
          <w:rFonts w:ascii="Arial" w:hAnsi="Arial" w:cs="Arial"/>
          <w:lang w:val="en-US"/>
        </w:rPr>
        <w:t xml:space="preserve"> (SDG 10.7)</w:t>
      </w:r>
      <w:r w:rsidR="002B3C14" w:rsidRPr="002B3C14">
        <w:rPr>
          <w:rFonts w:ascii="Arial" w:hAnsi="Arial" w:cs="Arial"/>
          <w:lang w:val="en-US"/>
        </w:rPr>
        <w:t xml:space="preserve">. </w:t>
      </w:r>
    </w:p>
    <w:p w14:paraId="37B087D4" w14:textId="0527A587" w:rsidR="00A83577" w:rsidRPr="00E34E72" w:rsidRDefault="00A83577" w:rsidP="00A83577">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120" w:line="240" w:lineRule="auto"/>
        <w:jc w:val="center"/>
        <w:rPr>
          <w:rFonts w:ascii="Arial" w:hAnsi="Arial" w:cs="Arial"/>
          <w:b/>
          <w:sz w:val="18"/>
          <w:szCs w:val="18"/>
          <w:lang w:val="en-US"/>
        </w:rPr>
      </w:pPr>
      <w:r w:rsidRPr="00E34E72">
        <w:rPr>
          <w:rFonts w:ascii="Arial" w:hAnsi="Arial" w:cs="Arial"/>
          <w:b/>
          <w:sz w:val="18"/>
          <w:szCs w:val="18"/>
          <w:lang w:val="en-US"/>
        </w:rPr>
        <w:lastRenderedPageBreak/>
        <w:t>Best Practice Box 6: Migration Policy</w:t>
      </w:r>
      <w:r w:rsidR="00F47C7C">
        <w:rPr>
          <w:rFonts w:ascii="Arial" w:hAnsi="Arial" w:cs="Arial"/>
          <w:b/>
          <w:sz w:val="18"/>
          <w:szCs w:val="18"/>
          <w:lang w:val="en-US"/>
        </w:rPr>
        <w:t xml:space="preserve"> and Mainstreaming of Migration</w:t>
      </w:r>
    </w:p>
    <w:p w14:paraId="0A579793" w14:textId="77777777" w:rsidR="00A83577" w:rsidRPr="00E34E72" w:rsidRDefault="00A83577" w:rsidP="00A835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lang w:val="en-US"/>
        </w:rPr>
      </w:pPr>
      <w:r w:rsidRPr="00E34E72">
        <w:rPr>
          <w:rFonts w:ascii="Arial" w:hAnsi="Arial" w:cs="Arial"/>
          <w:sz w:val="18"/>
          <w:szCs w:val="18"/>
          <w:lang w:val="en-US"/>
        </w:rPr>
        <w:t xml:space="preserve">Ghana, among other countries, developed a </w:t>
      </w:r>
      <w:hyperlink r:id="rId26" w:history="1">
        <w:r w:rsidRPr="00E34E72">
          <w:rPr>
            <w:rStyle w:val="Hyperlink"/>
            <w:rFonts w:ascii="Arial" w:hAnsi="Arial" w:cs="Arial"/>
            <w:sz w:val="18"/>
            <w:szCs w:val="18"/>
            <w:lang w:val="en-US"/>
          </w:rPr>
          <w:t>National Migration Policy</w:t>
        </w:r>
      </w:hyperlink>
      <w:r w:rsidRPr="00E34E72">
        <w:rPr>
          <w:rFonts w:ascii="Arial" w:hAnsi="Arial" w:cs="Arial"/>
          <w:sz w:val="18"/>
          <w:szCs w:val="18"/>
          <w:lang w:val="en-US"/>
        </w:rPr>
        <w:t xml:space="preserve"> to help manage its internal and international migration flows. The goal is to promote the benefits and minimize the costs of migration, taking into account the interest of all stakeholders.</w:t>
      </w:r>
    </w:p>
    <w:p w14:paraId="5D5EA7C9" w14:textId="77777777" w:rsidR="00A83577" w:rsidRPr="00E34E72" w:rsidRDefault="00A83577" w:rsidP="00A835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lang w:val="en-US"/>
        </w:rPr>
      </w:pPr>
      <w:r w:rsidRPr="00E34E72">
        <w:rPr>
          <w:rFonts w:ascii="Arial" w:hAnsi="Arial" w:cs="Arial"/>
          <w:sz w:val="18"/>
          <w:szCs w:val="18"/>
          <w:lang w:val="en-US"/>
        </w:rPr>
        <w:t xml:space="preserve">The </w:t>
      </w:r>
      <w:hyperlink r:id="rId27" w:history="1">
        <w:r w:rsidRPr="00E34E72">
          <w:rPr>
            <w:rStyle w:val="Hyperlink"/>
            <w:rFonts w:ascii="Arial" w:hAnsi="Arial" w:cs="Arial"/>
            <w:sz w:val="18"/>
            <w:szCs w:val="18"/>
            <w:lang w:val="en-US"/>
          </w:rPr>
          <w:t>Dashboard of Indicators for Measuring Policy and Institutional Coherence for Migration and Development</w:t>
        </w:r>
      </w:hyperlink>
      <w:r w:rsidRPr="00E34E72">
        <w:rPr>
          <w:rFonts w:ascii="Arial" w:hAnsi="Arial" w:cs="Arial"/>
          <w:sz w:val="18"/>
          <w:szCs w:val="18"/>
          <w:lang w:val="en-US"/>
        </w:rPr>
        <w:t xml:space="preserve"> (PICMD) is a user-friendly tool that has been developed by the KNOMAD Thematic Working Group on Policy and Institutional Coherence. It aims to measure the extent to which public policies and institutional arrangements are coherent with international best practices. </w:t>
      </w:r>
    </w:p>
    <w:p w14:paraId="1357AB81" w14:textId="77777777" w:rsidR="00A83577" w:rsidRPr="00E34E72" w:rsidRDefault="00A83577" w:rsidP="00A835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ind w:left="170" w:hanging="170"/>
        <w:jc w:val="both"/>
        <w:rPr>
          <w:rFonts w:ascii="Arial" w:hAnsi="Arial" w:cs="Arial"/>
          <w:lang w:val="en-US"/>
        </w:rPr>
      </w:pPr>
      <w:r w:rsidRPr="00E34E72">
        <w:rPr>
          <w:rFonts w:ascii="Arial" w:hAnsi="Arial" w:cs="Arial"/>
          <w:sz w:val="18"/>
          <w:szCs w:val="18"/>
          <w:lang w:val="en-US"/>
        </w:rPr>
        <w:t>A</w:t>
      </w:r>
      <w:r w:rsidRPr="00E34E72">
        <w:rPr>
          <w:rFonts w:ascii="Arial" w:hAnsi="Arial" w:cs="Arial"/>
          <w:lang w:val="en-US"/>
        </w:rPr>
        <w:t xml:space="preserve"> </w:t>
      </w:r>
      <w:r w:rsidRPr="00E34E72">
        <w:rPr>
          <w:rFonts w:ascii="Arial" w:hAnsi="Arial" w:cs="Arial"/>
          <w:sz w:val="18"/>
          <w:szCs w:val="18"/>
          <w:lang w:val="en-US"/>
        </w:rPr>
        <w:t xml:space="preserve">study by </w:t>
      </w:r>
      <w:hyperlink r:id="rId28" w:history="1">
        <w:r w:rsidRPr="00E34E72">
          <w:rPr>
            <w:rStyle w:val="Hyperlink"/>
            <w:rFonts w:ascii="Arial" w:hAnsi="Arial" w:cs="Arial"/>
            <w:sz w:val="18"/>
            <w:szCs w:val="18"/>
            <w:lang w:val="en-US"/>
          </w:rPr>
          <w:t>International Center for Migration Policy Development</w:t>
        </w:r>
      </w:hyperlink>
      <w:r w:rsidRPr="00E34E72">
        <w:rPr>
          <w:rFonts w:ascii="Arial" w:hAnsi="Arial" w:cs="Arial"/>
          <w:sz w:val="18"/>
          <w:szCs w:val="18"/>
          <w:lang w:val="en-US"/>
        </w:rPr>
        <w:t xml:space="preserve"> investigated and mapped migration and development policy in eleven European countries and the European Commission, providing input for ongoing policy discussions, and assisting states in identifying possible future directions.</w:t>
      </w:r>
    </w:p>
    <w:p w14:paraId="36CFD175" w14:textId="77777777" w:rsidR="009C263E" w:rsidRPr="00F47C7C" w:rsidRDefault="009C263E" w:rsidP="00F47C7C">
      <w:pPr>
        <w:spacing w:after="0" w:line="360" w:lineRule="auto"/>
        <w:jc w:val="both"/>
        <w:rPr>
          <w:rFonts w:ascii="Arial" w:hAnsi="Arial" w:cs="Arial"/>
          <w:lang w:val="en-US"/>
        </w:rPr>
      </w:pPr>
    </w:p>
    <w:p w14:paraId="5DA34394" w14:textId="77777777" w:rsidR="009131BD" w:rsidRPr="00E34E72" w:rsidRDefault="009131BD" w:rsidP="006A6B4B">
      <w:pPr>
        <w:spacing w:line="360" w:lineRule="auto"/>
        <w:jc w:val="both"/>
        <w:rPr>
          <w:rFonts w:ascii="Arial" w:hAnsi="Arial" w:cs="Arial"/>
          <w:b/>
          <w:lang w:val="en-US"/>
        </w:rPr>
      </w:pPr>
      <w:r w:rsidRPr="00E34E72">
        <w:rPr>
          <w:rFonts w:ascii="Arial" w:hAnsi="Arial" w:cs="Arial"/>
          <w:b/>
          <w:lang w:val="en-US"/>
        </w:rPr>
        <w:t xml:space="preserve">(d) </w:t>
      </w:r>
      <w:r w:rsidR="009C263E" w:rsidRPr="00E34E72">
        <w:rPr>
          <w:rFonts w:ascii="Arial" w:hAnsi="Arial" w:cs="Arial"/>
          <w:b/>
          <w:lang w:val="en-US"/>
        </w:rPr>
        <w:t>E</w:t>
      </w:r>
      <w:r w:rsidRPr="00E34E72">
        <w:rPr>
          <w:rFonts w:ascii="Arial" w:hAnsi="Arial" w:cs="Arial"/>
          <w:b/>
          <w:lang w:val="en-US"/>
        </w:rPr>
        <w:t>merging issues likely to affect the realization of poverty eradi</w:t>
      </w:r>
      <w:r w:rsidR="001D3D28" w:rsidRPr="00E34E72">
        <w:rPr>
          <w:rFonts w:ascii="Arial" w:hAnsi="Arial" w:cs="Arial"/>
          <w:b/>
          <w:lang w:val="en-US"/>
        </w:rPr>
        <w:t>cation and achieving prosperity</w:t>
      </w:r>
    </w:p>
    <w:p w14:paraId="5B6468F2" w14:textId="77777777" w:rsidR="008A4E97" w:rsidRPr="00E34E72" w:rsidRDefault="009131BD" w:rsidP="006A6B4B">
      <w:pPr>
        <w:spacing w:line="360" w:lineRule="auto"/>
        <w:jc w:val="both"/>
        <w:rPr>
          <w:rFonts w:ascii="Arial" w:hAnsi="Arial" w:cs="Arial"/>
          <w:lang w:val="en-US"/>
        </w:rPr>
      </w:pPr>
      <w:r w:rsidRPr="00E34E72">
        <w:rPr>
          <w:rFonts w:ascii="Arial" w:hAnsi="Arial" w:cs="Arial"/>
          <w:lang w:val="en-US"/>
        </w:rPr>
        <w:t xml:space="preserve">The UN </w:t>
      </w:r>
      <w:r w:rsidR="00D81744" w:rsidRPr="00E34E72">
        <w:rPr>
          <w:rFonts w:ascii="Arial" w:hAnsi="Arial" w:cs="Arial"/>
          <w:lang w:val="en-US"/>
        </w:rPr>
        <w:t xml:space="preserve">and its Member States </w:t>
      </w:r>
      <w:r w:rsidRPr="00E34E72">
        <w:rPr>
          <w:rFonts w:ascii="Arial" w:hAnsi="Arial" w:cs="Arial"/>
          <w:lang w:val="en-US"/>
        </w:rPr>
        <w:t xml:space="preserve">must further strive to promote multilateralism, tolerance, international solidarity </w:t>
      </w:r>
      <w:r w:rsidR="004C20D4" w:rsidRPr="00E34E72">
        <w:rPr>
          <w:rFonts w:ascii="Arial" w:hAnsi="Arial" w:cs="Arial"/>
          <w:lang w:val="en-US"/>
        </w:rPr>
        <w:t xml:space="preserve">between </w:t>
      </w:r>
      <w:r w:rsidRPr="00E34E72">
        <w:rPr>
          <w:rFonts w:ascii="Arial" w:hAnsi="Arial" w:cs="Arial"/>
          <w:lang w:val="en-US"/>
        </w:rPr>
        <w:t xml:space="preserve">and openness of societies. Current nationalist backlashes against this model seriously hamper efforts to </w:t>
      </w:r>
      <w:r w:rsidR="00D81744" w:rsidRPr="00E34E72">
        <w:rPr>
          <w:rFonts w:ascii="Arial" w:hAnsi="Arial" w:cs="Arial"/>
          <w:lang w:val="en-US"/>
        </w:rPr>
        <w:t xml:space="preserve">create </w:t>
      </w:r>
      <w:r w:rsidRPr="00E34E72">
        <w:rPr>
          <w:rFonts w:ascii="Arial" w:hAnsi="Arial" w:cs="Arial"/>
          <w:lang w:val="en-US"/>
        </w:rPr>
        <w:t xml:space="preserve">development-oriented migration policies </w:t>
      </w:r>
      <w:r w:rsidR="00D81744" w:rsidRPr="00E34E72">
        <w:rPr>
          <w:rFonts w:ascii="Arial" w:hAnsi="Arial" w:cs="Arial"/>
          <w:lang w:val="en-US"/>
        </w:rPr>
        <w:t xml:space="preserve">aimed at </w:t>
      </w:r>
      <w:r w:rsidRPr="00E34E72">
        <w:rPr>
          <w:rFonts w:ascii="Arial" w:hAnsi="Arial" w:cs="Arial"/>
          <w:lang w:val="en-US"/>
        </w:rPr>
        <w:t>contribut</w:t>
      </w:r>
      <w:r w:rsidR="00D81744" w:rsidRPr="00E34E72">
        <w:rPr>
          <w:rFonts w:ascii="Arial" w:hAnsi="Arial" w:cs="Arial"/>
          <w:lang w:val="en-US"/>
        </w:rPr>
        <w:t>ing</w:t>
      </w:r>
      <w:r w:rsidRPr="00E34E72">
        <w:rPr>
          <w:rFonts w:ascii="Arial" w:hAnsi="Arial" w:cs="Arial"/>
          <w:lang w:val="en-US"/>
        </w:rPr>
        <w:t xml:space="preserve"> to poverty alleviation</w:t>
      </w:r>
      <w:r w:rsidR="00D81744" w:rsidRPr="00E34E72">
        <w:rPr>
          <w:rFonts w:ascii="Arial" w:hAnsi="Arial" w:cs="Arial"/>
          <w:lang w:val="en-US"/>
        </w:rPr>
        <w:t xml:space="preserve"> at the international level</w:t>
      </w:r>
      <w:r w:rsidRPr="00E34E72">
        <w:rPr>
          <w:rFonts w:ascii="Arial" w:hAnsi="Arial" w:cs="Arial"/>
          <w:lang w:val="en-US"/>
        </w:rPr>
        <w:t>.</w:t>
      </w:r>
      <w:r w:rsidR="00F57426" w:rsidRPr="00E34E72">
        <w:rPr>
          <w:rFonts w:ascii="Arial" w:hAnsi="Arial" w:cs="Arial"/>
          <w:lang w:val="en-US"/>
        </w:rPr>
        <w:t xml:space="preserve"> </w:t>
      </w:r>
    </w:p>
    <w:p w14:paraId="02769D3B" w14:textId="03711426" w:rsidR="00F47C7C" w:rsidRDefault="001A3FFE" w:rsidP="006A6B4B">
      <w:pPr>
        <w:spacing w:line="360" w:lineRule="auto"/>
        <w:jc w:val="both"/>
        <w:rPr>
          <w:rFonts w:ascii="Arial" w:hAnsi="Arial" w:cs="Arial"/>
          <w:lang w:val="en-US"/>
        </w:rPr>
      </w:pPr>
      <w:r w:rsidRPr="00E34E72">
        <w:rPr>
          <w:rFonts w:ascii="Arial" w:hAnsi="Arial" w:cs="Arial"/>
          <w:lang w:val="en-US"/>
        </w:rPr>
        <w:t>Addressing c</w:t>
      </w:r>
      <w:r w:rsidR="00F75E14" w:rsidRPr="00E34E72">
        <w:rPr>
          <w:rFonts w:ascii="Arial" w:hAnsi="Arial" w:cs="Arial"/>
          <w:lang w:val="en-US"/>
        </w:rPr>
        <w:t>limate</w:t>
      </w:r>
      <w:r w:rsidR="00F47C7C">
        <w:rPr>
          <w:rFonts w:ascii="Arial" w:hAnsi="Arial" w:cs="Arial"/>
          <w:lang w:val="en-US"/>
        </w:rPr>
        <w:t>-</w:t>
      </w:r>
      <w:r w:rsidRPr="00E34E72">
        <w:rPr>
          <w:rFonts w:ascii="Arial" w:hAnsi="Arial" w:cs="Arial"/>
          <w:lang w:val="en-US"/>
        </w:rPr>
        <w:t xml:space="preserve">induced migration is among </w:t>
      </w:r>
      <w:r w:rsidR="00F75E14" w:rsidRPr="00E34E72">
        <w:rPr>
          <w:rFonts w:ascii="Arial" w:hAnsi="Arial" w:cs="Arial"/>
          <w:lang w:val="en-US"/>
        </w:rPr>
        <w:t>the recommendations that have come out of the GFMD.</w:t>
      </w:r>
      <w:r w:rsidR="0022394E">
        <w:rPr>
          <w:rFonts w:ascii="Arial" w:hAnsi="Arial" w:cs="Arial"/>
          <w:lang w:val="en-US"/>
        </w:rPr>
        <w:t xml:space="preserve"> Also,</w:t>
      </w:r>
      <w:r w:rsidRPr="00E34E72">
        <w:rPr>
          <w:rFonts w:ascii="Arial" w:hAnsi="Arial" w:cs="Arial"/>
          <w:lang w:val="en-US"/>
        </w:rPr>
        <w:t xml:space="preserve"> the GFMD came up with recommendations towards dealing with the effects of forced migration</w:t>
      </w:r>
      <w:r w:rsidR="00DB723B">
        <w:rPr>
          <w:rFonts w:ascii="Arial" w:hAnsi="Arial" w:cs="Arial"/>
          <w:lang w:val="en-US"/>
        </w:rPr>
        <w:t xml:space="preserve"> such as encouraging transit and destination countries to consider including forced migr</w:t>
      </w:r>
      <w:r w:rsidR="0022394E">
        <w:rPr>
          <w:rFonts w:ascii="Arial" w:hAnsi="Arial" w:cs="Arial"/>
          <w:lang w:val="en-US"/>
        </w:rPr>
        <w:t>ants in labor migration programmes</w:t>
      </w:r>
      <w:r w:rsidR="00DB723B">
        <w:rPr>
          <w:rFonts w:ascii="Arial" w:hAnsi="Arial" w:cs="Arial"/>
          <w:lang w:val="en-US"/>
        </w:rPr>
        <w:t xml:space="preserve"> covering all skill levels and establish relations with employers to contribute to this aim</w:t>
      </w:r>
      <w:r w:rsidRPr="00E34E72">
        <w:rPr>
          <w:rFonts w:ascii="Arial" w:hAnsi="Arial" w:cs="Arial"/>
          <w:lang w:val="en-US"/>
        </w:rPr>
        <w:t xml:space="preserve">. </w:t>
      </w:r>
    </w:p>
    <w:p w14:paraId="49FED282" w14:textId="77777777" w:rsidR="00F47C7C" w:rsidRPr="00F47C7C" w:rsidRDefault="00F47C7C" w:rsidP="0022394E">
      <w:pPr>
        <w:spacing w:after="0" w:line="360" w:lineRule="auto"/>
        <w:jc w:val="both"/>
        <w:rPr>
          <w:rFonts w:ascii="Arial" w:hAnsi="Arial" w:cs="Arial"/>
          <w:lang w:val="en-US"/>
        </w:rPr>
      </w:pPr>
    </w:p>
    <w:p w14:paraId="5AEA0129" w14:textId="77777777" w:rsidR="008A4E97" w:rsidRPr="00E34E72" w:rsidRDefault="009131BD" w:rsidP="006A6B4B">
      <w:pPr>
        <w:spacing w:line="360" w:lineRule="auto"/>
        <w:jc w:val="both"/>
        <w:rPr>
          <w:rFonts w:ascii="Arial" w:hAnsi="Arial" w:cs="Arial"/>
          <w:b/>
          <w:lang w:val="en-US"/>
        </w:rPr>
      </w:pPr>
      <w:r w:rsidRPr="00E34E72">
        <w:rPr>
          <w:rFonts w:ascii="Arial" w:hAnsi="Arial" w:cs="Arial"/>
          <w:b/>
          <w:lang w:val="en-US"/>
        </w:rPr>
        <w:t xml:space="preserve">(e) </w:t>
      </w:r>
      <w:r w:rsidR="009C263E" w:rsidRPr="00E34E72">
        <w:rPr>
          <w:rFonts w:ascii="Arial" w:hAnsi="Arial" w:cs="Arial"/>
          <w:b/>
          <w:lang w:val="en-US"/>
        </w:rPr>
        <w:t>A</w:t>
      </w:r>
      <w:r w:rsidRPr="00E34E72">
        <w:rPr>
          <w:rFonts w:ascii="Arial" w:hAnsi="Arial" w:cs="Arial"/>
          <w:b/>
          <w:lang w:val="en-US"/>
        </w:rPr>
        <w:t>reas where political guidance by the high-le</w:t>
      </w:r>
      <w:r w:rsidR="001D3D28" w:rsidRPr="00E34E72">
        <w:rPr>
          <w:rFonts w:ascii="Arial" w:hAnsi="Arial" w:cs="Arial"/>
          <w:b/>
          <w:lang w:val="en-US"/>
        </w:rPr>
        <w:t>vel political forum is required</w:t>
      </w:r>
    </w:p>
    <w:p w14:paraId="6950FC82" w14:textId="241EA89C" w:rsidR="00B44154" w:rsidRDefault="009131BD" w:rsidP="006A6B4B">
      <w:pPr>
        <w:spacing w:line="360" w:lineRule="auto"/>
        <w:jc w:val="both"/>
        <w:rPr>
          <w:rFonts w:ascii="Arial" w:hAnsi="Arial" w:cs="Arial"/>
          <w:lang w:val="en-US"/>
        </w:rPr>
      </w:pPr>
      <w:r w:rsidRPr="00E34E72">
        <w:rPr>
          <w:rFonts w:ascii="Arial" w:hAnsi="Arial" w:cs="Arial"/>
          <w:lang w:val="en-US"/>
        </w:rPr>
        <w:t>A statement by the HLPF highlighting</w:t>
      </w:r>
      <w:r w:rsidR="004C20D4" w:rsidRPr="00E34E72">
        <w:rPr>
          <w:rFonts w:ascii="Arial" w:hAnsi="Arial" w:cs="Arial"/>
          <w:lang w:val="en-US"/>
        </w:rPr>
        <w:t xml:space="preserve"> migration as </w:t>
      </w:r>
      <w:r w:rsidR="00D81744" w:rsidRPr="00E34E72">
        <w:rPr>
          <w:rFonts w:ascii="Arial" w:hAnsi="Arial" w:cs="Arial"/>
          <w:lang w:val="en-US"/>
        </w:rPr>
        <w:t xml:space="preserve">a human reality contributing to </w:t>
      </w:r>
      <w:r w:rsidR="004C20D4" w:rsidRPr="00E34E72">
        <w:rPr>
          <w:rFonts w:ascii="Arial" w:hAnsi="Arial" w:cs="Arial"/>
          <w:lang w:val="en-US"/>
        </w:rPr>
        <w:t>development</w:t>
      </w:r>
      <w:r w:rsidR="00E059BF" w:rsidRPr="00E34E72">
        <w:rPr>
          <w:rFonts w:ascii="Arial" w:hAnsi="Arial" w:cs="Arial"/>
          <w:lang w:val="en-US"/>
        </w:rPr>
        <w:t>,</w:t>
      </w:r>
      <w:r w:rsidR="004C20D4" w:rsidRPr="00E34E72">
        <w:rPr>
          <w:rFonts w:ascii="Arial" w:hAnsi="Arial" w:cs="Arial"/>
          <w:lang w:val="en-US"/>
        </w:rPr>
        <w:t xml:space="preserve"> thus</w:t>
      </w:r>
      <w:r w:rsidRPr="00E34E72">
        <w:rPr>
          <w:rFonts w:ascii="Arial" w:hAnsi="Arial" w:cs="Arial"/>
          <w:lang w:val="en-US"/>
        </w:rPr>
        <w:t xml:space="preserve"> </w:t>
      </w:r>
      <w:r w:rsidR="00110135" w:rsidRPr="00E34E72">
        <w:rPr>
          <w:rFonts w:ascii="Arial" w:hAnsi="Arial" w:cs="Arial"/>
          <w:lang w:val="en-US"/>
        </w:rPr>
        <w:t xml:space="preserve">underlining </w:t>
      </w:r>
      <w:r w:rsidRPr="00E34E72">
        <w:rPr>
          <w:rFonts w:ascii="Arial" w:hAnsi="Arial" w:cs="Arial"/>
          <w:lang w:val="en-US"/>
        </w:rPr>
        <w:t>the importance of targe</w:t>
      </w:r>
      <w:r w:rsidR="00AA7F81" w:rsidRPr="00E34E72">
        <w:rPr>
          <w:rFonts w:ascii="Arial" w:hAnsi="Arial" w:cs="Arial"/>
          <w:lang w:val="en-US"/>
        </w:rPr>
        <w:t xml:space="preserve">t 10.7 and its close linkage to </w:t>
      </w:r>
      <w:r w:rsidRPr="00E34E72">
        <w:rPr>
          <w:rFonts w:ascii="Arial" w:hAnsi="Arial" w:cs="Arial"/>
          <w:lang w:val="en-US"/>
        </w:rPr>
        <w:t>the G</w:t>
      </w:r>
      <w:r w:rsidR="00110135" w:rsidRPr="00E34E72">
        <w:rPr>
          <w:rFonts w:ascii="Arial" w:hAnsi="Arial" w:cs="Arial"/>
          <w:lang w:val="en-US"/>
        </w:rPr>
        <w:t>CM-process</w:t>
      </w:r>
      <w:r w:rsidRPr="00E34E72">
        <w:rPr>
          <w:rFonts w:ascii="Arial" w:hAnsi="Arial" w:cs="Arial"/>
          <w:lang w:val="en-US"/>
        </w:rPr>
        <w:t xml:space="preserve"> would </w:t>
      </w:r>
      <w:r w:rsidR="00D664EF" w:rsidRPr="00E34E72">
        <w:rPr>
          <w:rFonts w:ascii="Arial" w:hAnsi="Arial" w:cs="Arial"/>
          <w:lang w:val="en-US"/>
        </w:rPr>
        <w:t>send a strong signal</w:t>
      </w:r>
      <w:r w:rsidRPr="00E34E72">
        <w:rPr>
          <w:rFonts w:ascii="Arial" w:hAnsi="Arial" w:cs="Arial"/>
          <w:lang w:val="en-US"/>
        </w:rPr>
        <w:t>.</w:t>
      </w:r>
      <w:r w:rsidR="002946D0" w:rsidRPr="00E34E72">
        <w:rPr>
          <w:rFonts w:ascii="Arial" w:hAnsi="Arial" w:cs="Arial"/>
          <w:lang w:val="en-US"/>
        </w:rPr>
        <w:t xml:space="preserve"> </w:t>
      </w:r>
      <w:r w:rsidR="00156B7C" w:rsidRPr="00E34E72">
        <w:rPr>
          <w:rFonts w:ascii="Arial" w:hAnsi="Arial" w:cs="Arial"/>
          <w:lang w:val="en-US"/>
        </w:rPr>
        <w:t xml:space="preserve">In addition, it is important to point out </w:t>
      </w:r>
      <w:r w:rsidR="00156B7C" w:rsidRPr="00E34E72">
        <w:rPr>
          <w:rFonts w:ascii="Arial" w:hAnsi="Arial" w:cs="Arial"/>
          <w:lang w:val="en-GB"/>
        </w:rPr>
        <w:t>the differences in human resources and work force between countries of origin, transit and destination of migrants and the need for a more balanced demographic, social and economic development between North and South.</w:t>
      </w:r>
    </w:p>
    <w:p w14:paraId="473721FE" w14:textId="77777777" w:rsidR="0022394E" w:rsidRPr="00E34E72" w:rsidRDefault="0022394E" w:rsidP="0022394E">
      <w:pPr>
        <w:spacing w:after="0" w:line="360" w:lineRule="auto"/>
        <w:jc w:val="both"/>
        <w:rPr>
          <w:rFonts w:ascii="Arial" w:hAnsi="Arial" w:cs="Arial"/>
          <w:lang w:val="en-US"/>
        </w:rPr>
      </w:pPr>
    </w:p>
    <w:p w14:paraId="62F3EC01" w14:textId="77777777" w:rsidR="001D3D28" w:rsidRPr="00E34E72" w:rsidRDefault="009131BD" w:rsidP="006A6B4B">
      <w:pPr>
        <w:spacing w:line="360" w:lineRule="auto"/>
        <w:jc w:val="both"/>
        <w:rPr>
          <w:rFonts w:ascii="Arial" w:hAnsi="Arial" w:cs="Arial"/>
          <w:lang w:val="en-US"/>
        </w:rPr>
      </w:pPr>
      <w:r w:rsidRPr="00E34E72">
        <w:rPr>
          <w:rFonts w:ascii="Arial" w:hAnsi="Arial" w:cs="Arial"/>
          <w:b/>
          <w:lang w:val="en-US"/>
        </w:rPr>
        <w:t xml:space="preserve">(f) </w:t>
      </w:r>
      <w:r w:rsidR="009C263E" w:rsidRPr="00E34E72">
        <w:rPr>
          <w:rFonts w:ascii="Arial" w:hAnsi="Arial" w:cs="Arial"/>
          <w:b/>
          <w:lang w:val="en-US"/>
        </w:rPr>
        <w:t>P</w:t>
      </w:r>
      <w:r w:rsidRPr="00E34E72">
        <w:rPr>
          <w:rFonts w:ascii="Arial" w:hAnsi="Arial" w:cs="Arial"/>
          <w:b/>
          <w:lang w:val="en-US"/>
        </w:rPr>
        <w:t>olicy recommendations on ways to accelerate p</w:t>
      </w:r>
      <w:r w:rsidR="001D3D28" w:rsidRPr="00E34E72">
        <w:rPr>
          <w:rFonts w:ascii="Arial" w:hAnsi="Arial" w:cs="Arial"/>
          <w:b/>
          <w:lang w:val="en-US"/>
        </w:rPr>
        <w:t>rogress in poverty eradication</w:t>
      </w:r>
    </w:p>
    <w:p w14:paraId="42B1C7F7" w14:textId="77777777" w:rsidR="00347969" w:rsidRPr="00E34E72" w:rsidRDefault="001D3D28" w:rsidP="006A6B4B">
      <w:pPr>
        <w:spacing w:line="360" w:lineRule="auto"/>
        <w:jc w:val="both"/>
        <w:rPr>
          <w:rFonts w:ascii="Arial" w:hAnsi="Arial" w:cs="Arial"/>
          <w:lang w:val="en-US"/>
        </w:rPr>
      </w:pPr>
      <w:r w:rsidRPr="00E34E72">
        <w:rPr>
          <w:rFonts w:ascii="Arial" w:hAnsi="Arial" w:cs="Arial"/>
          <w:lang w:val="en-US"/>
        </w:rPr>
        <w:t xml:space="preserve">In recent years, GFMD has managed to establish core areas </w:t>
      </w:r>
      <w:r w:rsidR="00110135" w:rsidRPr="00E34E72">
        <w:rPr>
          <w:rFonts w:ascii="Arial" w:hAnsi="Arial" w:cs="Arial"/>
          <w:lang w:val="en-US"/>
        </w:rPr>
        <w:t xml:space="preserve">of dialogue centered on </w:t>
      </w:r>
      <w:r w:rsidRPr="00E34E72">
        <w:rPr>
          <w:rFonts w:ascii="Arial" w:hAnsi="Arial" w:cs="Arial"/>
          <w:lang w:val="en-US"/>
        </w:rPr>
        <w:t xml:space="preserve">migration and development and gathered concrete </w:t>
      </w:r>
      <w:r w:rsidR="00110135" w:rsidRPr="00E34E72">
        <w:rPr>
          <w:rFonts w:ascii="Arial" w:hAnsi="Arial" w:cs="Arial"/>
          <w:lang w:val="en-US"/>
        </w:rPr>
        <w:t xml:space="preserve">recommendations as to </w:t>
      </w:r>
      <w:r w:rsidRPr="00E34E72">
        <w:rPr>
          <w:rFonts w:ascii="Arial" w:hAnsi="Arial" w:cs="Arial"/>
          <w:lang w:val="en-US"/>
        </w:rPr>
        <w:t xml:space="preserve">how the potential of migration for development could be tapped. </w:t>
      </w:r>
      <w:r w:rsidR="006B721D" w:rsidRPr="00E34E72">
        <w:rPr>
          <w:rFonts w:ascii="Arial" w:hAnsi="Arial" w:cs="Arial"/>
          <w:lang w:val="en-US"/>
        </w:rPr>
        <w:t>These are presented below.</w:t>
      </w:r>
    </w:p>
    <w:p w14:paraId="61D7F050" w14:textId="77777777" w:rsidR="0022394E" w:rsidRDefault="0022394E" w:rsidP="006A6B4B">
      <w:pPr>
        <w:spacing w:line="360" w:lineRule="auto"/>
        <w:jc w:val="both"/>
        <w:rPr>
          <w:rFonts w:ascii="Arial" w:hAnsi="Arial" w:cs="Arial"/>
          <w:b/>
          <w:lang w:val="en-US"/>
        </w:rPr>
      </w:pPr>
    </w:p>
    <w:p w14:paraId="39513442" w14:textId="77777777" w:rsidR="00347969" w:rsidRPr="00E34E72" w:rsidRDefault="00347969" w:rsidP="006A6B4B">
      <w:pPr>
        <w:spacing w:line="360" w:lineRule="auto"/>
        <w:jc w:val="both"/>
        <w:rPr>
          <w:rFonts w:ascii="Arial" w:hAnsi="Arial" w:cs="Arial"/>
          <w:b/>
          <w:lang w:val="en-US"/>
        </w:rPr>
      </w:pPr>
      <w:r w:rsidRPr="00E34E72">
        <w:rPr>
          <w:rFonts w:ascii="Arial" w:hAnsi="Arial" w:cs="Arial"/>
          <w:b/>
          <w:lang w:val="en-US"/>
        </w:rPr>
        <w:lastRenderedPageBreak/>
        <w:t>General Recommendations:</w:t>
      </w:r>
    </w:p>
    <w:p w14:paraId="7B4EA688" w14:textId="77777777" w:rsidR="00347969" w:rsidRPr="00E34E72" w:rsidRDefault="00347969" w:rsidP="006A6B4B">
      <w:pPr>
        <w:pStyle w:val="ListParagraph"/>
        <w:numPr>
          <w:ilvl w:val="0"/>
          <w:numId w:val="36"/>
        </w:numPr>
        <w:spacing w:line="360" w:lineRule="auto"/>
        <w:jc w:val="both"/>
        <w:rPr>
          <w:rFonts w:ascii="Arial" w:hAnsi="Arial" w:cs="Arial"/>
          <w:lang w:val="en-US"/>
        </w:rPr>
      </w:pPr>
      <w:r w:rsidRPr="00E34E72">
        <w:rPr>
          <w:rFonts w:ascii="Arial" w:hAnsi="Arial" w:cs="Arial"/>
          <w:lang w:val="en-US"/>
        </w:rPr>
        <w:t>Integrate migration</w:t>
      </w:r>
      <w:r w:rsidR="00110135" w:rsidRPr="00E34E72">
        <w:rPr>
          <w:rFonts w:ascii="Arial" w:hAnsi="Arial" w:cs="Arial"/>
          <w:lang w:val="en-US"/>
        </w:rPr>
        <w:t>-related</w:t>
      </w:r>
      <w:r w:rsidRPr="00E34E72">
        <w:rPr>
          <w:rFonts w:ascii="Arial" w:hAnsi="Arial" w:cs="Arial"/>
          <w:lang w:val="en-US"/>
        </w:rPr>
        <w:t xml:space="preserve"> aspects into the implementation of the 2030 Agenda whenever necessary (as demonstrated in table 1, there are numerous links between migration and </w:t>
      </w:r>
      <w:r w:rsidR="008A4E97" w:rsidRPr="00E34E72">
        <w:rPr>
          <w:rFonts w:ascii="Arial" w:hAnsi="Arial" w:cs="Arial"/>
          <w:lang w:val="en-US"/>
        </w:rPr>
        <w:t xml:space="preserve">the 17 </w:t>
      </w:r>
      <w:r w:rsidRPr="00E34E72">
        <w:rPr>
          <w:rFonts w:ascii="Arial" w:hAnsi="Arial" w:cs="Arial"/>
          <w:lang w:val="en-US"/>
        </w:rPr>
        <w:t>SDGs);</w:t>
      </w:r>
    </w:p>
    <w:p w14:paraId="1357B874" w14:textId="77777777" w:rsidR="00347969" w:rsidRPr="00E34E72" w:rsidRDefault="00347969" w:rsidP="006A6B4B">
      <w:pPr>
        <w:pStyle w:val="ListParagraph"/>
        <w:numPr>
          <w:ilvl w:val="0"/>
          <w:numId w:val="36"/>
        </w:numPr>
        <w:spacing w:line="360" w:lineRule="auto"/>
        <w:jc w:val="both"/>
        <w:rPr>
          <w:rFonts w:ascii="Arial" w:hAnsi="Arial" w:cs="Arial"/>
          <w:lang w:val="en-US"/>
        </w:rPr>
      </w:pPr>
      <w:r w:rsidRPr="00E34E72">
        <w:rPr>
          <w:rFonts w:ascii="Arial" w:hAnsi="Arial" w:cs="Arial"/>
          <w:lang w:val="en-US"/>
        </w:rPr>
        <w:t>Given the size of the migration phenomenon</w:t>
      </w:r>
      <w:r w:rsidR="008A4E97" w:rsidRPr="00E34E72">
        <w:rPr>
          <w:rFonts w:ascii="Arial" w:hAnsi="Arial" w:cs="Arial"/>
          <w:lang w:val="en-US"/>
        </w:rPr>
        <w:t xml:space="preserve"> – approximately 250 million people worldwide are international migrants, sending 4</w:t>
      </w:r>
      <w:r w:rsidR="000A59AD" w:rsidRPr="00E34E72">
        <w:rPr>
          <w:rFonts w:ascii="Arial" w:hAnsi="Arial" w:cs="Arial"/>
          <w:lang w:val="en-US"/>
        </w:rPr>
        <w:t>41</w:t>
      </w:r>
      <w:r w:rsidR="008A4E97" w:rsidRPr="00E34E72">
        <w:rPr>
          <w:rFonts w:ascii="Arial" w:hAnsi="Arial" w:cs="Arial"/>
          <w:lang w:val="en-US"/>
        </w:rPr>
        <w:t xml:space="preserve"> billion US</w:t>
      </w:r>
      <w:r w:rsidR="004F4D87" w:rsidRPr="00E34E72">
        <w:rPr>
          <w:rFonts w:ascii="Arial" w:hAnsi="Arial" w:cs="Arial"/>
          <w:lang w:val="en-US"/>
        </w:rPr>
        <w:t xml:space="preserve"> Dollars</w:t>
      </w:r>
      <w:r w:rsidR="008A4E97" w:rsidRPr="00E34E72">
        <w:rPr>
          <w:rFonts w:ascii="Arial" w:hAnsi="Arial" w:cs="Arial"/>
          <w:lang w:val="en-US"/>
        </w:rPr>
        <w:t xml:space="preserve"> remittances per year</w:t>
      </w:r>
      <w:r w:rsidR="00F75E14" w:rsidRPr="00E34E72">
        <w:rPr>
          <w:rFonts w:ascii="Arial" w:hAnsi="Arial" w:cs="Arial"/>
          <w:lang w:val="en-US"/>
        </w:rPr>
        <w:t xml:space="preserve"> to developing countries</w:t>
      </w:r>
      <w:r w:rsidR="000A59AD" w:rsidRPr="00E34E72">
        <w:rPr>
          <w:rStyle w:val="FootnoteReference"/>
          <w:rFonts w:ascii="Arial" w:hAnsi="Arial" w:cs="Arial"/>
          <w:lang w:val="en-US"/>
        </w:rPr>
        <w:footnoteReference w:id="5"/>
      </w:r>
      <w:r w:rsidR="00E974B2">
        <w:rPr>
          <w:rFonts w:ascii="Arial" w:hAnsi="Arial" w:cs="Arial"/>
          <w:lang w:val="en-US"/>
        </w:rPr>
        <w:t xml:space="preserve"> –</w:t>
      </w:r>
      <w:r w:rsidRPr="00E34E72">
        <w:rPr>
          <w:rFonts w:ascii="Arial" w:hAnsi="Arial" w:cs="Arial"/>
          <w:lang w:val="en-US"/>
        </w:rPr>
        <w:t xml:space="preserve"> its actual and potential impact on poverty alleviation and prosperity </w:t>
      </w:r>
      <w:r w:rsidR="00110135" w:rsidRPr="00E34E72">
        <w:rPr>
          <w:rFonts w:ascii="Arial" w:hAnsi="Arial" w:cs="Arial"/>
          <w:lang w:val="en-US"/>
        </w:rPr>
        <w:t xml:space="preserve">should not be underestimated </w:t>
      </w:r>
      <w:r w:rsidRPr="00E34E72">
        <w:rPr>
          <w:rFonts w:ascii="Arial" w:hAnsi="Arial" w:cs="Arial"/>
          <w:lang w:val="en-US"/>
        </w:rPr>
        <w:t xml:space="preserve">and </w:t>
      </w:r>
      <w:r w:rsidR="00110135" w:rsidRPr="00E34E72">
        <w:rPr>
          <w:rFonts w:ascii="Arial" w:hAnsi="Arial" w:cs="Arial"/>
          <w:lang w:val="en-US"/>
        </w:rPr>
        <w:t xml:space="preserve">thus </w:t>
      </w:r>
      <w:r w:rsidRPr="00E34E72">
        <w:rPr>
          <w:rFonts w:ascii="Arial" w:hAnsi="Arial" w:cs="Arial"/>
          <w:lang w:val="en-US"/>
        </w:rPr>
        <w:t xml:space="preserve">deserves more attention; </w:t>
      </w:r>
    </w:p>
    <w:p w14:paraId="274BF629" w14:textId="77777777" w:rsidR="00695118" w:rsidRPr="00E34E72" w:rsidRDefault="008A4E97" w:rsidP="006A6B4B">
      <w:pPr>
        <w:pStyle w:val="ListParagraph"/>
        <w:numPr>
          <w:ilvl w:val="0"/>
          <w:numId w:val="36"/>
        </w:numPr>
        <w:spacing w:line="360" w:lineRule="auto"/>
        <w:jc w:val="both"/>
        <w:rPr>
          <w:rFonts w:ascii="Arial" w:hAnsi="Arial" w:cs="Arial"/>
          <w:lang w:val="en-US"/>
        </w:rPr>
      </w:pPr>
      <w:r w:rsidRPr="00E34E72">
        <w:rPr>
          <w:rFonts w:ascii="Arial" w:hAnsi="Arial" w:cs="Arial"/>
          <w:lang w:val="en-US"/>
        </w:rPr>
        <w:t>F</w:t>
      </w:r>
      <w:r w:rsidR="00695118" w:rsidRPr="00E34E72">
        <w:rPr>
          <w:rFonts w:ascii="Arial" w:hAnsi="Arial" w:cs="Arial"/>
          <w:lang w:val="en-US"/>
        </w:rPr>
        <w:t>ocus on the migrants themselves, acknowledging their specific vulnerabilities as well as highlighting their important role as development actors (in line with the theme of the 2017 HLPF is “Eradicating poverty and promoting prosperity in a changing world”);</w:t>
      </w:r>
    </w:p>
    <w:p w14:paraId="282F4954" w14:textId="77777777" w:rsidR="00347969" w:rsidRPr="00E34E72" w:rsidRDefault="00695118" w:rsidP="006A6B4B">
      <w:pPr>
        <w:pStyle w:val="ListParagraph"/>
        <w:numPr>
          <w:ilvl w:val="0"/>
          <w:numId w:val="36"/>
        </w:numPr>
        <w:spacing w:line="360" w:lineRule="auto"/>
        <w:jc w:val="both"/>
        <w:rPr>
          <w:rFonts w:ascii="Arial" w:hAnsi="Arial" w:cs="Arial"/>
          <w:lang w:val="en-US"/>
        </w:rPr>
      </w:pPr>
      <w:r w:rsidRPr="00E34E72">
        <w:rPr>
          <w:rFonts w:ascii="Arial" w:hAnsi="Arial" w:cs="Arial"/>
          <w:lang w:val="en-US"/>
        </w:rPr>
        <w:t>Put more emphasis on the sub-national level</w:t>
      </w:r>
      <w:r w:rsidR="00DF0398" w:rsidRPr="00E34E72">
        <w:rPr>
          <w:rStyle w:val="FootnoteReference"/>
          <w:rFonts w:ascii="Arial" w:hAnsi="Arial" w:cs="Arial"/>
          <w:lang w:val="en-US"/>
        </w:rPr>
        <w:footnoteReference w:id="6"/>
      </w:r>
      <w:r w:rsidR="00DF0398" w:rsidRPr="00E34E72">
        <w:rPr>
          <w:rFonts w:ascii="Arial" w:hAnsi="Arial" w:cs="Arial"/>
          <w:lang w:val="en-US"/>
        </w:rPr>
        <w:t xml:space="preserve"> to accelerate progress in poverty eradication by fostering inclusion and creating employment opportunities for </w:t>
      </w:r>
      <w:r w:rsidR="00614842" w:rsidRPr="00E34E72">
        <w:rPr>
          <w:rFonts w:ascii="Arial" w:hAnsi="Arial" w:cs="Arial"/>
          <w:lang w:val="en-US"/>
        </w:rPr>
        <w:t xml:space="preserve">all </w:t>
      </w:r>
      <w:r w:rsidR="00DF0398" w:rsidRPr="00E34E72">
        <w:rPr>
          <w:rFonts w:ascii="Arial" w:hAnsi="Arial" w:cs="Arial"/>
          <w:lang w:val="en-US"/>
        </w:rPr>
        <w:t>migrants</w:t>
      </w:r>
      <w:r w:rsidR="009C0C54" w:rsidRPr="00E34E72">
        <w:rPr>
          <w:rFonts w:ascii="Arial" w:hAnsi="Arial" w:cs="Arial"/>
          <w:lang w:val="en-US"/>
        </w:rPr>
        <w:t xml:space="preserve">; </w:t>
      </w:r>
    </w:p>
    <w:p w14:paraId="391CEB77" w14:textId="77777777" w:rsidR="00156282" w:rsidRDefault="00156282" w:rsidP="00E15FDE">
      <w:pPr>
        <w:pStyle w:val="ListParagraph"/>
        <w:numPr>
          <w:ilvl w:val="0"/>
          <w:numId w:val="36"/>
        </w:numPr>
        <w:spacing w:line="360" w:lineRule="auto"/>
        <w:jc w:val="both"/>
        <w:rPr>
          <w:rFonts w:ascii="Arial" w:hAnsi="Arial" w:cs="Arial"/>
          <w:lang w:val="en-US"/>
        </w:rPr>
      </w:pPr>
      <w:r>
        <w:rPr>
          <w:rFonts w:ascii="Arial" w:hAnsi="Arial" w:cs="Arial"/>
          <w:lang w:val="en-US"/>
        </w:rPr>
        <w:t>In line with the New York Declaration, promote multi-stakeholder partnerships, recognizing the different invaluable contributions made by governments, the private sector, civil society and academia in the spirit of a truly comprehensive migration policy approach;</w:t>
      </w:r>
    </w:p>
    <w:p w14:paraId="258206CE" w14:textId="77777777" w:rsidR="00E15FDE" w:rsidRPr="00E34E72" w:rsidRDefault="00156282" w:rsidP="00E15FDE">
      <w:pPr>
        <w:pStyle w:val="ListParagraph"/>
        <w:numPr>
          <w:ilvl w:val="0"/>
          <w:numId w:val="36"/>
        </w:numPr>
        <w:spacing w:line="360" w:lineRule="auto"/>
        <w:jc w:val="both"/>
        <w:rPr>
          <w:rFonts w:ascii="Arial" w:hAnsi="Arial" w:cs="Arial"/>
          <w:lang w:val="en-US"/>
        </w:rPr>
      </w:pPr>
      <w:r>
        <w:rPr>
          <w:rFonts w:ascii="Arial" w:hAnsi="Arial" w:cs="Arial"/>
          <w:lang w:val="en-US"/>
        </w:rPr>
        <w:t xml:space="preserve">Underline the positive effects migration can have on </w:t>
      </w:r>
      <w:r w:rsidR="00F11E7B">
        <w:rPr>
          <w:rFonts w:ascii="Arial" w:hAnsi="Arial" w:cs="Arial"/>
          <w:lang w:val="en-US"/>
        </w:rPr>
        <w:t xml:space="preserve">the development in </w:t>
      </w:r>
      <w:r>
        <w:rPr>
          <w:rFonts w:ascii="Arial" w:hAnsi="Arial" w:cs="Arial"/>
          <w:lang w:val="en-US"/>
        </w:rPr>
        <w:t>countries</w:t>
      </w:r>
      <w:r w:rsidR="00F11E7B">
        <w:rPr>
          <w:rFonts w:ascii="Arial" w:hAnsi="Arial" w:cs="Arial"/>
          <w:lang w:val="en-US"/>
        </w:rPr>
        <w:t xml:space="preserve"> of origin, transit and destination as well as for the migrants themselves.</w:t>
      </w:r>
    </w:p>
    <w:p w14:paraId="084BC6C2" w14:textId="77777777" w:rsidR="006B721D" w:rsidRPr="00E34E72" w:rsidRDefault="006B721D" w:rsidP="006A6B4B">
      <w:pPr>
        <w:spacing w:line="360" w:lineRule="auto"/>
        <w:jc w:val="both"/>
        <w:rPr>
          <w:rFonts w:ascii="Arial" w:hAnsi="Arial" w:cs="Arial"/>
          <w:b/>
          <w:lang w:val="en-US"/>
        </w:rPr>
      </w:pPr>
    </w:p>
    <w:p w14:paraId="5E14C39C" w14:textId="77777777" w:rsidR="00347969" w:rsidRPr="00E34E72" w:rsidRDefault="00C07B65" w:rsidP="006A6B4B">
      <w:pPr>
        <w:spacing w:line="360" w:lineRule="auto"/>
        <w:jc w:val="both"/>
        <w:rPr>
          <w:rFonts w:ascii="Arial" w:hAnsi="Arial" w:cs="Arial"/>
          <w:b/>
          <w:lang w:val="en-US"/>
        </w:rPr>
      </w:pPr>
      <w:r>
        <w:rPr>
          <w:noProof/>
          <w:lang w:val="en-US"/>
        </w:rPr>
        <w:drawing>
          <wp:anchor distT="0" distB="0" distL="114300" distR="114300" simplePos="0" relativeHeight="251665408" behindDoc="1" locked="0" layoutInCell="1" allowOverlap="1" wp14:anchorId="38EF8359" wp14:editId="67D0DBC3">
            <wp:simplePos x="0" y="0"/>
            <wp:positionH relativeFrom="column">
              <wp:posOffset>5339715</wp:posOffset>
            </wp:positionH>
            <wp:positionV relativeFrom="paragraph">
              <wp:posOffset>529590</wp:posOffset>
            </wp:positionV>
            <wp:extent cx="474980" cy="474980"/>
            <wp:effectExtent l="0" t="0" r="1270" b="1270"/>
            <wp:wrapTight wrapText="bothSides">
              <wp:wrapPolygon edited="0">
                <wp:start x="0" y="0"/>
                <wp:lineTo x="0" y="20791"/>
                <wp:lineTo x="20791" y="20791"/>
                <wp:lineTo x="20791" y="0"/>
                <wp:lineTo x="0" y="0"/>
              </wp:wrapPolygon>
            </wp:wrapTight>
            <wp:docPr id="11" name="Grafik 11" descr="Bildergebnis für SD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DG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969" w:rsidRPr="00E34E72">
        <w:rPr>
          <w:rFonts w:ascii="Arial" w:hAnsi="Arial" w:cs="Arial"/>
          <w:b/>
          <w:lang w:val="en-US"/>
        </w:rPr>
        <w:t xml:space="preserve">Specific Recommendations in view of the </w:t>
      </w:r>
      <w:r w:rsidR="00DF0398" w:rsidRPr="00E34E72">
        <w:rPr>
          <w:rFonts w:ascii="Arial" w:hAnsi="Arial" w:cs="Arial"/>
          <w:b/>
          <w:lang w:val="en-US"/>
        </w:rPr>
        <w:t xml:space="preserve">migration-related </w:t>
      </w:r>
      <w:r w:rsidR="00347969" w:rsidRPr="00E34E72">
        <w:rPr>
          <w:rFonts w:ascii="Arial" w:hAnsi="Arial" w:cs="Arial"/>
          <w:b/>
          <w:lang w:val="en-US"/>
        </w:rPr>
        <w:t>SDGs in focus of the 2017 HLPF</w:t>
      </w:r>
      <w:r w:rsidR="00745FB2" w:rsidRPr="00E34E72">
        <w:rPr>
          <w:rFonts w:ascii="Arial" w:hAnsi="Arial" w:cs="Arial"/>
          <w:b/>
          <w:lang w:val="en-US"/>
        </w:rPr>
        <w:t xml:space="preserve"> and beyond</w:t>
      </w:r>
      <w:r w:rsidR="00347969" w:rsidRPr="00E34E72">
        <w:rPr>
          <w:rFonts w:ascii="Arial" w:hAnsi="Arial" w:cs="Arial"/>
          <w:b/>
          <w:lang w:val="en-US"/>
        </w:rPr>
        <w:t>:</w:t>
      </w:r>
    </w:p>
    <w:p w14:paraId="5DA12E48" w14:textId="77777777" w:rsidR="009C0C54" w:rsidRPr="00E34E72" w:rsidRDefault="00FB2F7E" w:rsidP="006A6B4B">
      <w:pPr>
        <w:pStyle w:val="ListParagraph"/>
        <w:numPr>
          <w:ilvl w:val="0"/>
          <w:numId w:val="37"/>
        </w:numPr>
        <w:spacing w:line="360" w:lineRule="auto"/>
        <w:jc w:val="both"/>
        <w:rPr>
          <w:rFonts w:ascii="Arial" w:hAnsi="Arial" w:cs="Arial"/>
          <w:lang w:val="en-US"/>
        </w:rPr>
      </w:pPr>
      <w:r w:rsidRPr="00E34E72">
        <w:rPr>
          <w:rFonts w:ascii="Arial" w:hAnsi="Arial" w:cs="Arial"/>
          <w:noProof/>
          <w:lang w:val="en-US"/>
        </w:rPr>
        <w:drawing>
          <wp:anchor distT="0" distB="0" distL="114300" distR="114300" simplePos="0" relativeHeight="251658240" behindDoc="1" locked="0" layoutInCell="1" allowOverlap="1" wp14:anchorId="1BFD0ED7" wp14:editId="30AE242B">
            <wp:simplePos x="0" y="0"/>
            <wp:positionH relativeFrom="column">
              <wp:posOffset>5336540</wp:posOffset>
            </wp:positionH>
            <wp:positionV relativeFrom="paragraph">
              <wp:posOffset>532130</wp:posOffset>
            </wp:positionV>
            <wp:extent cx="474345" cy="474345"/>
            <wp:effectExtent l="0" t="0" r="190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b="2494"/>
                    <a:stretch/>
                  </pic:blipFill>
                  <pic:spPr bwMode="auto">
                    <a:xfrm>
                      <a:off x="0" y="0"/>
                      <a:ext cx="474345"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398" w:rsidRPr="00E34E72">
        <w:rPr>
          <w:rFonts w:ascii="Arial" w:hAnsi="Arial" w:cs="Arial"/>
          <w:lang w:val="en-US"/>
        </w:rPr>
        <w:t>Create skills partnerships that aim at leveraging migration gains for qualitatively and quantitatively improved e</w:t>
      </w:r>
      <w:r w:rsidR="00976CAE" w:rsidRPr="00E34E72">
        <w:rPr>
          <w:rFonts w:ascii="Arial" w:hAnsi="Arial" w:cs="Arial"/>
          <w:lang w:val="en-US"/>
        </w:rPr>
        <w:t xml:space="preserve">ducation of health personnel in </w:t>
      </w:r>
      <w:r w:rsidR="00DF0398" w:rsidRPr="00E34E72">
        <w:rPr>
          <w:rFonts w:ascii="Arial" w:hAnsi="Arial" w:cs="Arial"/>
          <w:lang w:val="en-US"/>
        </w:rPr>
        <w:t>countries of origin as a strategy</w:t>
      </w:r>
      <w:r w:rsidR="00110135" w:rsidRPr="00E34E72">
        <w:rPr>
          <w:rFonts w:ascii="Arial" w:hAnsi="Arial" w:cs="Arial"/>
          <w:lang w:val="en-US"/>
        </w:rPr>
        <w:t xml:space="preserve"> to counter the shortage of</w:t>
      </w:r>
      <w:r w:rsidR="00C07B65">
        <w:rPr>
          <w:rFonts w:ascii="Arial" w:hAnsi="Arial" w:cs="Arial"/>
          <w:lang w:val="en-US"/>
        </w:rPr>
        <w:t xml:space="preserve"> </w:t>
      </w:r>
      <w:r w:rsidR="00DF0398" w:rsidRPr="00E34E72">
        <w:rPr>
          <w:rFonts w:ascii="Arial" w:hAnsi="Arial" w:cs="Arial"/>
          <w:lang w:val="en-US"/>
        </w:rPr>
        <w:t>global health worker</w:t>
      </w:r>
      <w:r w:rsidR="00110135" w:rsidRPr="00E34E72">
        <w:rPr>
          <w:rFonts w:ascii="Arial" w:hAnsi="Arial" w:cs="Arial"/>
          <w:lang w:val="en-US"/>
        </w:rPr>
        <w:t>s</w:t>
      </w:r>
      <w:r w:rsidR="00976CAE" w:rsidRPr="00E34E72">
        <w:rPr>
          <w:rFonts w:ascii="Arial" w:hAnsi="Arial" w:cs="Arial"/>
          <w:lang w:val="en-US"/>
        </w:rPr>
        <w:t>;</w:t>
      </w:r>
    </w:p>
    <w:p w14:paraId="0B796E9B" w14:textId="77777777" w:rsidR="00126FB0" w:rsidRPr="00567843" w:rsidRDefault="00FB2F7E" w:rsidP="00567843">
      <w:pPr>
        <w:pStyle w:val="ListParagraph"/>
        <w:numPr>
          <w:ilvl w:val="0"/>
          <w:numId w:val="37"/>
        </w:numPr>
        <w:spacing w:line="360" w:lineRule="auto"/>
        <w:jc w:val="both"/>
        <w:rPr>
          <w:rFonts w:ascii="Arial" w:hAnsi="Arial" w:cs="Arial"/>
          <w:lang w:val="en-US"/>
        </w:rPr>
      </w:pPr>
      <w:r w:rsidRPr="00E34E72">
        <w:rPr>
          <w:rFonts w:ascii="Arial" w:hAnsi="Arial" w:cs="Arial"/>
          <w:noProof/>
          <w:lang w:val="en-US"/>
        </w:rPr>
        <w:drawing>
          <wp:anchor distT="0" distB="0" distL="114300" distR="114300" simplePos="0" relativeHeight="251664384" behindDoc="1" locked="0" layoutInCell="1" allowOverlap="1" wp14:anchorId="653F9895" wp14:editId="41D3CDF2">
            <wp:simplePos x="0" y="0"/>
            <wp:positionH relativeFrom="column">
              <wp:posOffset>5342890</wp:posOffset>
            </wp:positionH>
            <wp:positionV relativeFrom="paragraph">
              <wp:posOffset>398780</wp:posOffset>
            </wp:positionV>
            <wp:extent cx="478790" cy="474345"/>
            <wp:effectExtent l="0" t="0" r="0" b="1905"/>
            <wp:wrapTight wrapText="bothSides">
              <wp:wrapPolygon edited="0">
                <wp:start x="0" y="0"/>
                <wp:lineTo x="0" y="20819"/>
                <wp:lineTo x="20626" y="20819"/>
                <wp:lineTo x="20626"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8790" cy="474345"/>
                    </a:xfrm>
                    <a:prstGeom prst="rect">
                      <a:avLst/>
                    </a:prstGeom>
                  </pic:spPr>
                </pic:pic>
              </a:graphicData>
            </a:graphic>
            <wp14:sizeRelH relativeFrom="page">
              <wp14:pctWidth>0</wp14:pctWidth>
            </wp14:sizeRelH>
            <wp14:sizeRelV relativeFrom="page">
              <wp14:pctHeight>0</wp14:pctHeight>
            </wp14:sizeRelV>
          </wp:anchor>
        </w:drawing>
      </w:r>
      <w:r w:rsidR="007B4C52" w:rsidRPr="00567843">
        <w:rPr>
          <w:rFonts w:ascii="Arial" w:hAnsi="Arial" w:cs="Arial"/>
          <w:lang w:val="en-US"/>
        </w:rPr>
        <w:t>Increase direct investments, promote entrepreneurship, and boost agricultural and rural development in order to create jobs in developing countries</w:t>
      </w:r>
      <w:r w:rsidR="00567843">
        <w:rPr>
          <w:rFonts w:ascii="Arial" w:hAnsi="Arial" w:cs="Arial"/>
          <w:lang w:val="en-US"/>
        </w:rPr>
        <w:t>;</w:t>
      </w:r>
    </w:p>
    <w:p w14:paraId="4C94D9BE" w14:textId="51D7868C" w:rsidR="00844E97" w:rsidRDefault="009F05EF" w:rsidP="00381219">
      <w:pPr>
        <w:pStyle w:val="ListParagraph"/>
        <w:numPr>
          <w:ilvl w:val="0"/>
          <w:numId w:val="37"/>
        </w:numPr>
        <w:spacing w:line="360" w:lineRule="auto"/>
        <w:jc w:val="both"/>
        <w:rPr>
          <w:rFonts w:ascii="Arial" w:hAnsi="Arial" w:cs="Arial"/>
          <w:lang w:val="en-US"/>
        </w:rPr>
      </w:pPr>
      <w:r w:rsidRPr="00E34E72">
        <w:rPr>
          <w:rFonts w:ascii="Arial" w:hAnsi="Arial" w:cs="Arial"/>
          <w:lang w:val="en-US"/>
        </w:rPr>
        <w:t>Encourage adoption of a code of ethical recruitment</w:t>
      </w:r>
      <w:r w:rsidR="00844E97">
        <w:rPr>
          <w:rFonts w:ascii="Arial" w:hAnsi="Arial" w:cs="Arial"/>
          <w:lang w:val="en-US"/>
        </w:rPr>
        <w:t>;</w:t>
      </w:r>
    </w:p>
    <w:p w14:paraId="05723906" w14:textId="5C66E21C" w:rsidR="00976CAE" w:rsidRPr="00E34E72" w:rsidRDefault="00381219" w:rsidP="00381219">
      <w:pPr>
        <w:pStyle w:val="ListParagraph"/>
        <w:numPr>
          <w:ilvl w:val="0"/>
          <w:numId w:val="37"/>
        </w:numPr>
        <w:spacing w:line="360" w:lineRule="auto"/>
        <w:jc w:val="both"/>
        <w:rPr>
          <w:rStyle w:val="CommentReference"/>
          <w:rFonts w:ascii="Arial" w:hAnsi="Arial" w:cs="Arial"/>
          <w:sz w:val="22"/>
          <w:szCs w:val="22"/>
          <w:lang w:val="en-US"/>
        </w:rPr>
      </w:pPr>
      <w:r w:rsidRPr="00B44154">
        <w:rPr>
          <w:rFonts w:ascii="Arial" w:hAnsi="Arial" w:cs="Arial"/>
          <w:noProof/>
          <w:lang w:val="en-US" w:eastAsia="de-DE"/>
        </w:rPr>
        <w:lastRenderedPageBreak/>
        <w:t xml:space="preserve">Formulate comprehensive strategies to effectively combat trafficking of </w:t>
      </w:r>
      <w:r w:rsidR="0022394E" w:rsidRPr="00E34E72">
        <w:rPr>
          <w:rFonts w:ascii="Arial" w:hAnsi="Arial" w:cs="Arial"/>
          <w:noProof/>
          <w:lang w:val="en-US"/>
        </w:rPr>
        <w:drawing>
          <wp:anchor distT="0" distB="0" distL="114300" distR="114300" simplePos="0" relativeHeight="251659264" behindDoc="1" locked="0" layoutInCell="1" allowOverlap="1" wp14:anchorId="0CB06B88" wp14:editId="43AE45AF">
            <wp:simplePos x="0" y="0"/>
            <wp:positionH relativeFrom="column">
              <wp:posOffset>5323205</wp:posOffset>
            </wp:positionH>
            <wp:positionV relativeFrom="paragraph">
              <wp:posOffset>38735</wp:posOffset>
            </wp:positionV>
            <wp:extent cx="465455" cy="465455"/>
            <wp:effectExtent l="0" t="0" r="0" b="0"/>
            <wp:wrapTight wrapText="bothSides">
              <wp:wrapPolygon edited="0">
                <wp:start x="0" y="0"/>
                <wp:lineTo x="0" y="20333"/>
                <wp:lineTo x="20333" y="20333"/>
                <wp:lineTo x="203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14:sizeRelH relativeFrom="page">
              <wp14:pctWidth>0</wp14:pctWidth>
            </wp14:sizeRelH>
            <wp14:sizeRelV relativeFrom="page">
              <wp14:pctHeight>0</wp14:pctHeight>
            </wp14:sizeRelV>
          </wp:anchor>
        </w:drawing>
      </w:r>
      <w:r w:rsidRPr="00B44154">
        <w:rPr>
          <w:rFonts w:ascii="Arial" w:hAnsi="Arial" w:cs="Arial"/>
          <w:noProof/>
          <w:lang w:val="en-US" w:eastAsia="de-DE"/>
        </w:rPr>
        <w:t>women and girls, provide for their empowerment, protect their families, promote gender equality, and craft legislation that will bring clients and patrons of trafficking to the bar of justice</w:t>
      </w:r>
      <w:r w:rsidR="00150C43" w:rsidRPr="00E34E72">
        <w:rPr>
          <w:rFonts w:ascii="Arial" w:hAnsi="Arial" w:cs="Arial"/>
          <w:lang w:val="en-US"/>
        </w:rPr>
        <w:t>;</w:t>
      </w:r>
    </w:p>
    <w:p w14:paraId="0A025D58" w14:textId="59924B7D" w:rsidR="00F7286F" w:rsidRPr="00E34E72" w:rsidRDefault="00F7286F" w:rsidP="00F7286F">
      <w:pPr>
        <w:pStyle w:val="ListParagraph"/>
        <w:numPr>
          <w:ilvl w:val="0"/>
          <w:numId w:val="37"/>
        </w:numPr>
        <w:spacing w:line="360" w:lineRule="auto"/>
        <w:jc w:val="both"/>
        <w:rPr>
          <w:rFonts w:ascii="Arial" w:hAnsi="Arial" w:cs="Arial"/>
          <w:lang w:val="en-US"/>
        </w:rPr>
      </w:pPr>
      <w:r w:rsidRPr="00E34E72">
        <w:rPr>
          <w:rFonts w:ascii="Arial" w:hAnsi="Arial" w:cs="Arial"/>
          <w:lang w:val="en-US"/>
        </w:rPr>
        <w:t>Establish women networks online through portals so that they can connect and share capacities to build enterprises</w:t>
      </w:r>
      <w:r w:rsidR="00567843">
        <w:rPr>
          <w:rFonts w:ascii="Arial" w:hAnsi="Arial" w:cs="Arial"/>
          <w:lang w:val="en-US"/>
        </w:rPr>
        <w:t>;</w:t>
      </w:r>
    </w:p>
    <w:p w14:paraId="4AF7695A" w14:textId="6E41025A" w:rsidR="00C07B65" w:rsidRPr="0022394E" w:rsidRDefault="00C07B65" w:rsidP="006A6B4B">
      <w:pPr>
        <w:pStyle w:val="ListParagraph"/>
        <w:numPr>
          <w:ilvl w:val="0"/>
          <w:numId w:val="37"/>
        </w:numPr>
        <w:spacing w:line="360" w:lineRule="auto"/>
        <w:jc w:val="both"/>
        <w:rPr>
          <w:rFonts w:ascii="Arial" w:hAnsi="Arial" w:cs="Arial"/>
          <w:lang w:val="en-US"/>
        </w:rPr>
      </w:pPr>
      <w:r w:rsidRPr="00E34E72">
        <w:rPr>
          <w:rFonts w:ascii="Arial" w:hAnsi="Arial" w:cs="Arial"/>
          <w:noProof/>
          <w:lang w:val="en-US"/>
        </w:rPr>
        <w:drawing>
          <wp:anchor distT="0" distB="0" distL="114300" distR="114300" simplePos="0" relativeHeight="251663360" behindDoc="1" locked="0" layoutInCell="1" allowOverlap="1" wp14:anchorId="6BDE7D8D" wp14:editId="3760E180">
            <wp:simplePos x="0" y="0"/>
            <wp:positionH relativeFrom="column">
              <wp:posOffset>5345430</wp:posOffset>
            </wp:positionH>
            <wp:positionV relativeFrom="paragraph">
              <wp:posOffset>36830</wp:posOffset>
            </wp:positionV>
            <wp:extent cx="461010" cy="457200"/>
            <wp:effectExtent l="0" t="0" r="0" b="0"/>
            <wp:wrapTight wrapText="bothSides">
              <wp:wrapPolygon edited="0">
                <wp:start x="0" y="0"/>
                <wp:lineTo x="0" y="20700"/>
                <wp:lineTo x="20529" y="20700"/>
                <wp:lineTo x="2052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1010" cy="457200"/>
                    </a:xfrm>
                    <a:prstGeom prst="rect">
                      <a:avLst/>
                    </a:prstGeom>
                  </pic:spPr>
                </pic:pic>
              </a:graphicData>
            </a:graphic>
            <wp14:sizeRelH relativeFrom="page">
              <wp14:pctWidth>0</wp14:pctWidth>
            </wp14:sizeRelH>
            <wp14:sizeRelV relativeFrom="page">
              <wp14:pctHeight>0</wp14:pctHeight>
            </wp14:sizeRelV>
          </wp:anchor>
        </w:drawing>
      </w:r>
      <w:r w:rsidRPr="00E34E72">
        <w:rPr>
          <w:rFonts w:ascii="Arial" w:hAnsi="Arial" w:cs="Arial"/>
          <w:lang w:val="en-US"/>
        </w:rPr>
        <w:t>Improve data collection on migrants’ contribution to the economic growth of receiving countries and on their needs for un-skilled or low-skilled migrant so that policy making can rely on reliable data comparable across countries. GFMD as a multi-stakeholder partnership platform is particularly suitable to foster activities in this area</w:t>
      </w:r>
      <w:r w:rsidR="00FB2F7E">
        <w:rPr>
          <w:rFonts w:ascii="Arial" w:hAnsi="Arial" w:cs="Arial"/>
          <w:lang w:val="en-US"/>
        </w:rPr>
        <w:t>.</w:t>
      </w:r>
    </w:p>
    <w:p w14:paraId="10916CA0" w14:textId="77777777" w:rsidR="00347969" w:rsidRPr="00E34E72" w:rsidRDefault="00347969" w:rsidP="006A6B4B">
      <w:pPr>
        <w:spacing w:line="360" w:lineRule="auto"/>
        <w:jc w:val="both"/>
        <w:rPr>
          <w:rFonts w:ascii="Arial" w:hAnsi="Arial" w:cs="Arial"/>
          <w:b/>
          <w:u w:val="single"/>
          <w:lang w:val="en-US"/>
        </w:rPr>
      </w:pPr>
      <w:r w:rsidRPr="00E34E72">
        <w:rPr>
          <w:rFonts w:ascii="Arial" w:hAnsi="Arial" w:cs="Arial"/>
          <w:b/>
          <w:u w:val="single"/>
          <w:lang w:val="en-US"/>
        </w:rPr>
        <w:t>Outlook</w:t>
      </w:r>
    </w:p>
    <w:p w14:paraId="3601022E" w14:textId="77777777" w:rsidR="001A1516" w:rsidRDefault="001726F0" w:rsidP="00FB2F7E">
      <w:pPr>
        <w:spacing w:line="360" w:lineRule="auto"/>
        <w:jc w:val="both"/>
        <w:rPr>
          <w:rFonts w:ascii="Arial" w:hAnsi="Arial" w:cs="Arial"/>
          <w:lang w:val="en-US"/>
        </w:rPr>
      </w:pPr>
      <w:r w:rsidRPr="00E34E72">
        <w:rPr>
          <w:rFonts w:ascii="Arial" w:hAnsi="Arial" w:cs="Arial"/>
          <w:lang w:val="en-US"/>
        </w:rPr>
        <w:t>Besides the contribution to the HLPF, the GFMD has been invited in the New York Declaration</w:t>
      </w:r>
      <w:r w:rsidR="00CF1526" w:rsidRPr="00E34E72">
        <w:rPr>
          <w:rFonts w:ascii="Arial" w:hAnsi="Arial" w:cs="Arial"/>
          <w:lang w:val="en-US"/>
        </w:rPr>
        <w:t xml:space="preserve"> (Annex II)</w:t>
      </w:r>
      <w:r w:rsidRPr="00E34E72">
        <w:rPr>
          <w:rFonts w:ascii="Arial" w:hAnsi="Arial" w:cs="Arial"/>
          <w:lang w:val="en-US"/>
        </w:rPr>
        <w:t xml:space="preserve"> to provide thematic input to the inter-governmental negotiations on a</w:t>
      </w:r>
      <w:r w:rsidRPr="00E34E72">
        <w:rPr>
          <w:rFonts w:ascii="Arial" w:hAnsi="Arial" w:cs="Arial"/>
          <w:b/>
          <w:lang w:val="en-US"/>
        </w:rPr>
        <w:t xml:space="preserve"> Global Compact on Migration</w:t>
      </w:r>
      <w:r w:rsidRPr="00E34E72">
        <w:rPr>
          <w:rFonts w:ascii="Arial" w:hAnsi="Arial" w:cs="Arial"/>
          <w:lang w:val="en-US"/>
        </w:rPr>
        <w:t xml:space="preserve"> (GCM). Taking up the invitation, the GFMD stands ready to provide substantive input </w:t>
      </w:r>
      <w:r w:rsidR="00B81CAA" w:rsidRPr="00E34E72">
        <w:rPr>
          <w:rFonts w:ascii="Arial" w:hAnsi="Arial" w:cs="Arial"/>
          <w:lang w:val="en-US"/>
        </w:rPr>
        <w:t>for the stocktaking meeting in Mexico in November 2017.</w:t>
      </w:r>
    </w:p>
    <w:p w14:paraId="5FBD6032" w14:textId="77777777" w:rsidR="008D1F16" w:rsidRDefault="008D1F16" w:rsidP="00FB2F7E">
      <w:pPr>
        <w:spacing w:line="360" w:lineRule="auto"/>
        <w:jc w:val="both"/>
        <w:rPr>
          <w:rFonts w:ascii="Arial" w:hAnsi="Arial" w:cs="Arial"/>
          <w:lang w:val="en-US"/>
        </w:rPr>
      </w:pPr>
    </w:p>
    <w:p w14:paraId="7F2054EC" w14:textId="77777777" w:rsidR="008D1F16" w:rsidRDefault="008D1F16" w:rsidP="00FB2F7E">
      <w:pPr>
        <w:spacing w:line="360" w:lineRule="auto"/>
        <w:jc w:val="both"/>
        <w:rPr>
          <w:rFonts w:ascii="Arial" w:hAnsi="Arial" w:cs="Arial"/>
          <w:lang w:val="en-US"/>
        </w:rPr>
        <w:sectPr w:rsidR="008D1F16" w:rsidSect="00D123E0">
          <w:footerReference w:type="default" r:id="rId34"/>
          <w:pgSz w:w="11906" w:h="16838"/>
          <w:pgMar w:top="1417" w:right="1417" w:bottom="1134" w:left="1417" w:header="708" w:footer="708" w:gutter="0"/>
          <w:cols w:space="708"/>
          <w:docGrid w:linePitch="360"/>
        </w:sectPr>
      </w:pPr>
    </w:p>
    <w:p w14:paraId="1666DE1E" w14:textId="77777777" w:rsidR="008D1F16" w:rsidRDefault="008D1F16" w:rsidP="008D1F16">
      <w:pPr>
        <w:spacing w:line="360" w:lineRule="auto"/>
        <w:jc w:val="center"/>
        <w:rPr>
          <w:rFonts w:ascii="Arial" w:hAnsi="Arial" w:cs="Arial"/>
          <w:lang w:val="en-US"/>
        </w:rPr>
      </w:pPr>
      <w:r w:rsidRPr="00E34E72">
        <w:rPr>
          <w:rFonts w:cs="Arial"/>
          <w:noProof/>
          <w:sz w:val="24"/>
          <w:szCs w:val="24"/>
          <w:lang w:val="en-US"/>
        </w:rPr>
        <w:lastRenderedPageBreak/>
        <w:drawing>
          <wp:inline distT="0" distB="0" distL="0" distR="0" wp14:anchorId="3E9EA68E" wp14:editId="67686528">
            <wp:extent cx="3371850" cy="628650"/>
            <wp:effectExtent l="0" t="0" r="0" b="0"/>
            <wp:docPr id="4" name="Grafik 4" descr="GFMD-Logo-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MD-Logo-2017-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628650"/>
                    </a:xfrm>
                    <a:prstGeom prst="rect">
                      <a:avLst/>
                    </a:prstGeom>
                    <a:noFill/>
                  </pic:spPr>
                </pic:pic>
              </a:graphicData>
            </a:graphic>
          </wp:inline>
        </w:drawing>
      </w:r>
    </w:p>
    <w:p w14:paraId="0363EC75" w14:textId="77777777" w:rsidR="008D1F16" w:rsidRDefault="008D1F16" w:rsidP="008D1F16">
      <w:pPr>
        <w:spacing w:line="360" w:lineRule="auto"/>
        <w:jc w:val="center"/>
        <w:rPr>
          <w:rFonts w:ascii="Arial" w:hAnsi="Arial" w:cs="Arial"/>
          <w:lang w:val="en-US"/>
        </w:rPr>
      </w:pPr>
    </w:p>
    <w:p w14:paraId="2B7309E4" w14:textId="77777777" w:rsidR="008D1F16" w:rsidRPr="00646E51" w:rsidRDefault="008D1F16" w:rsidP="008D1F16">
      <w:pPr>
        <w:spacing w:line="360" w:lineRule="auto"/>
        <w:jc w:val="center"/>
        <w:rPr>
          <w:rFonts w:cs="Arial"/>
          <w:lang w:val="en-US"/>
        </w:rPr>
      </w:pPr>
      <w:r w:rsidRPr="00E34E72">
        <w:rPr>
          <w:rFonts w:cs="Arial"/>
          <w:b/>
          <w:lang w:val="en-US"/>
        </w:rPr>
        <w:t>Recommendations to the 2017 High-Level Political Forum</w:t>
      </w:r>
      <w:r w:rsidRPr="00E34E72">
        <w:rPr>
          <w:rFonts w:cs="Arial"/>
          <w:b/>
          <w:lang w:val="en-US"/>
        </w:rPr>
        <w:br/>
      </w:r>
      <w:r>
        <w:rPr>
          <w:rFonts w:cs="Arial"/>
          <w:b/>
          <w:lang w:val="en-US"/>
        </w:rPr>
        <w:t>22</w:t>
      </w:r>
      <w:r w:rsidRPr="00E34E72">
        <w:rPr>
          <w:rFonts w:cs="Arial"/>
          <w:b/>
          <w:lang w:val="en-US"/>
        </w:rPr>
        <w:t xml:space="preserve"> March 2017</w:t>
      </w:r>
    </w:p>
    <w:p w14:paraId="332F6BD1" w14:textId="4F041EB2" w:rsidR="008D1F16" w:rsidRPr="00D20953" w:rsidRDefault="008D1F16" w:rsidP="0022394E">
      <w:pPr>
        <w:spacing w:line="360" w:lineRule="auto"/>
        <w:jc w:val="center"/>
        <w:rPr>
          <w:rFonts w:eastAsia="Calibri" w:cs="Arial"/>
          <w:lang w:val="en-US"/>
        </w:rPr>
      </w:pPr>
      <w:r w:rsidRPr="00D20953">
        <w:rPr>
          <w:rFonts w:eastAsia="Calibri" w:cs="Arial"/>
          <w:lang w:val="en-US"/>
        </w:rPr>
        <w:t>Annex</w:t>
      </w:r>
      <w:r>
        <w:rPr>
          <w:rFonts w:eastAsia="Calibri" w:cs="Arial"/>
          <w:lang w:val="en-US"/>
        </w:rPr>
        <w:t xml:space="preserve"> I</w:t>
      </w:r>
      <w:r w:rsidR="00F06E5C">
        <w:rPr>
          <w:rFonts w:eastAsia="Calibri" w:cs="Arial"/>
          <w:lang w:val="en-US"/>
        </w:rPr>
        <w:t>: Additional</w:t>
      </w:r>
      <w:r w:rsidRPr="00D20953">
        <w:rPr>
          <w:rFonts w:eastAsia="Calibri" w:cs="Arial"/>
          <w:lang w:val="en-US"/>
        </w:rPr>
        <w:t xml:space="preserve"> best practices from the </w:t>
      </w:r>
      <w:r w:rsidR="00F06E5C">
        <w:rPr>
          <w:rFonts w:eastAsia="Calibri" w:cs="Arial"/>
          <w:lang w:val="en-US"/>
        </w:rPr>
        <w:t>GFM</w:t>
      </w:r>
      <w:bookmarkStart w:id="0" w:name="_GoBack"/>
      <w:bookmarkEnd w:id="0"/>
      <w:r w:rsidR="00F06E5C">
        <w:rPr>
          <w:rFonts w:eastAsia="Calibri" w:cs="Arial"/>
          <w:lang w:val="en-US"/>
        </w:rPr>
        <w:t xml:space="preserve">D </w:t>
      </w:r>
      <w:r w:rsidRPr="00D20953">
        <w:rPr>
          <w:rFonts w:eastAsia="Calibri" w:cs="Arial"/>
          <w:lang w:val="en-US"/>
        </w:rPr>
        <w:t>Platform for Partnerships</w:t>
      </w:r>
    </w:p>
    <w:p w14:paraId="3D480BF7" w14:textId="4EB978EA" w:rsidR="008D1F16" w:rsidRPr="00D20953" w:rsidRDefault="008D1F16" w:rsidP="008D1F1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jc w:val="center"/>
        <w:rPr>
          <w:rFonts w:eastAsia="Calibri" w:cs="Arial"/>
          <w:b/>
          <w:sz w:val="18"/>
          <w:szCs w:val="18"/>
          <w:lang w:val="en-US"/>
        </w:rPr>
      </w:pPr>
      <w:r w:rsidRPr="00D20953">
        <w:rPr>
          <w:rFonts w:eastAsia="Calibri" w:cs="Arial"/>
          <w:b/>
          <w:sz w:val="18"/>
          <w:szCs w:val="18"/>
          <w:lang w:val="en-US"/>
        </w:rPr>
        <w:t>Skills Partnerships on Good Jobs and Economic Growth</w:t>
      </w:r>
    </w:p>
    <w:p w14:paraId="0FFFD0CF" w14:textId="5226D2D1"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With the </w:t>
      </w:r>
      <w:hyperlink r:id="rId35" w:history="1">
        <w:r w:rsidRPr="00D20953">
          <w:rPr>
            <w:rFonts w:eastAsia="Calibri" w:cs="Arial"/>
            <w:color w:val="0000FF"/>
            <w:sz w:val="18"/>
            <w:szCs w:val="18"/>
            <w:u w:val="single"/>
            <w:lang w:val="en-US"/>
          </w:rPr>
          <w:t>Tripartite Action for the Protection and Promotion of the Rights of Migrant Workers in the ASEAN Region</w:t>
        </w:r>
      </w:hyperlink>
      <w:r w:rsidRPr="00D20953">
        <w:rPr>
          <w:rFonts w:eastAsia="Calibri" w:cs="Arial"/>
          <w:sz w:val="18"/>
          <w:szCs w:val="18"/>
          <w:lang w:val="en-US"/>
        </w:rPr>
        <w:t xml:space="preserve"> (ASEAN TRIANGLE Project), Cambodia, Indonesia, Lao, Myanmar, Philippines, Thailand and Viet Nam aim to significantly reduce the exploitation of </w:t>
      </w:r>
      <w:r w:rsidR="0022394E" w:rsidRPr="00D20953">
        <w:rPr>
          <w:rFonts w:eastAsia="Calibri" w:cs="Arial"/>
          <w:sz w:val="18"/>
          <w:szCs w:val="18"/>
          <w:lang w:val="en-US"/>
        </w:rPr>
        <w:t>labor</w:t>
      </w:r>
      <w:r w:rsidRPr="00D20953">
        <w:rPr>
          <w:rFonts w:eastAsia="Calibri" w:cs="Arial"/>
          <w:sz w:val="18"/>
          <w:szCs w:val="18"/>
          <w:lang w:val="en-US"/>
        </w:rPr>
        <w:t xml:space="preserve"> migrants in the region through increased legal and safe migration and improved </w:t>
      </w:r>
      <w:r w:rsidR="0022394E" w:rsidRPr="00D20953">
        <w:rPr>
          <w:rFonts w:eastAsia="Calibri" w:cs="Arial"/>
          <w:sz w:val="18"/>
          <w:szCs w:val="18"/>
          <w:lang w:val="en-US"/>
        </w:rPr>
        <w:t>labor</w:t>
      </w:r>
      <w:r w:rsidRPr="00D20953">
        <w:rPr>
          <w:rFonts w:eastAsia="Calibri" w:cs="Arial"/>
          <w:sz w:val="18"/>
          <w:szCs w:val="18"/>
          <w:lang w:val="en-US"/>
        </w:rPr>
        <w:t xml:space="preserve"> protection.</w:t>
      </w:r>
    </w:p>
    <w:p w14:paraId="63FA5303" w14:textId="77777777"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With the </w:t>
      </w:r>
      <w:hyperlink r:id="rId36" w:history="1">
        <w:r w:rsidRPr="00D20953">
          <w:rPr>
            <w:rFonts w:eastAsia="Calibri" w:cs="Arial"/>
            <w:color w:val="0000FF"/>
            <w:sz w:val="18"/>
            <w:szCs w:val="18"/>
            <w:u w:val="single"/>
            <w:lang w:val="en-US"/>
          </w:rPr>
          <w:t>Labor Rights Protection for Salvadoran Immigrants in the United States of America</w:t>
        </w:r>
      </w:hyperlink>
      <w:r w:rsidRPr="00D20953">
        <w:rPr>
          <w:rFonts w:eastAsia="Calibri" w:cs="Arial"/>
          <w:sz w:val="18"/>
          <w:szCs w:val="18"/>
          <w:lang w:val="en-US"/>
        </w:rPr>
        <w:t>, El Salvador and the United States in 2011 signed a memorandum of understanding that recognized the joint commitment of both nations in the labor rights protection of Salvadoran immigrant workers in the United States.</w:t>
      </w:r>
    </w:p>
    <w:p w14:paraId="154F94AD" w14:textId="77777777" w:rsidR="008D1F16" w:rsidRPr="00D20953" w:rsidRDefault="008D1F16" w:rsidP="008D1F16">
      <w:pPr>
        <w:spacing w:line="360" w:lineRule="auto"/>
        <w:rPr>
          <w:rFonts w:eastAsia="Calibri" w:cs="Arial"/>
          <w:lang w:val="en-US"/>
        </w:rPr>
      </w:pPr>
    </w:p>
    <w:p w14:paraId="29076A9E" w14:textId="7C2F8EDA" w:rsidR="008D1F16" w:rsidRPr="00D20953" w:rsidRDefault="008D1F16" w:rsidP="008D1F1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jc w:val="center"/>
        <w:rPr>
          <w:rFonts w:eastAsia="Calibri" w:cs="Arial"/>
          <w:b/>
          <w:sz w:val="18"/>
          <w:szCs w:val="18"/>
          <w:lang w:val="en-US"/>
        </w:rPr>
      </w:pPr>
      <w:r w:rsidRPr="00D20953">
        <w:rPr>
          <w:rFonts w:eastAsia="Calibri" w:cs="Arial"/>
          <w:b/>
          <w:sz w:val="18"/>
          <w:szCs w:val="18"/>
          <w:lang w:val="en-US"/>
        </w:rPr>
        <w:t xml:space="preserve">Skills Partnerships on Good Jobs and Economic Growth &amp; Partnerships for the Goals </w:t>
      </w:r>
    </w:p>
    <w:p w14:paraId="1C920AF7" w14:textId="0A321409"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In </w:t>
      </w:r>
      <w:hyperlink r:id="rId37" w:history="1">
        <w:r w:rsidRPr="00D20953">
          <w:rPr>
            <w:rFonts w:eastAsia="Calibri" w:cs="Arial"/>
            <w:color w:val="0000FF"/>
            <w:sz w:val="18"/>
            <w:szCs w:val="18"/>
            <w:u w:val="single"/>
            <w:lang w:val="en-US"/>
          </w:rPr>
          <w:t xml:space="preserve">assessing the economic contribution of </w:t>
        </w:r>
        <w:r w:rsidR="0022394E" w:rsidRPr="00D20953">
          <w:rPr>
            <w:rFonts w:eastAsia="Calibri" w:cs="Arial"/>
            <w:color w:val="0000FF"/>
            <w:sz w:val="18"/>
            <w:szCs w:val="18"/>
            <w:u w:val="single"/>
            <w:lang w:val="en-US"/>
          </w:rPr>
          <w:t>labor</w:t>
        </w:r>
        <w:r w:rsidRPr="00D20953">
          <w:rPr>
            <w:rFonts w:eastAsia="Calibri" w:cs="Arial"/>
            <w:color w:val="0000FF"/>
            <w:sz w:val="18"/>
            <w:szCs w:val="18"/>
            <w:u w:val="single"/>
            <w:lang w:val="en-US"/>
          </w:rPr>
          <w:t xml:space="preserve"> migration in developing countries as countries of destination</w:t>
        </w:r>
      </w:hyperlink>
      <w:r w:rsidRPr="00D20953">
        <w:rPr>
          <w:rFonts w:eastAsia="Calibri" w:cs="Arial"/>
          <w:sz w:val="18"/>
          <w:szCs w:val="18"/>
          <w:lang w:val="en-US"/>
        </w:rPr>
        <w:t>, Costa Rica</w:t>
      </w:r>
      <w:r w:rsidRPr="00D20953">
        <w:rPr>
          <w:rFonts w:eastAsia="Calibri" w:cs="Arial"/>
          <w:lang w:val="en-US"/>
        </w:rPr>
        <w:t xml:space="preserve"> </w:t>
      </w:r>
      <w:r w:rsidRPr="00D20953">
        <w:rPr>
          <w:rFonts w:eastAsia="Calibri" w:cs="Arial"/>
          <w:sz w:val="18"/>
          <w:szCs w:val="18"/>
          <w:lang w:val="en-US"/>
        </w:rPr>
        <w:t xml:space="preserve">addresses the economic contribution of </w:t>
      </w:r>
      <w:r w:rsidR="0022394E" w:rsidRPr="00D20953">
        <w:rPr>
          <w:rFonts w:eastAsia="Calibri" w:cs="Arial"/>
          <w:sz w:val="18"/>
          <w:szCs w:val="18"/>
          <w:lang w:val="en-US"/>
        </w:rPr>
        <w:t>labor</w:t>
      </w:r>
      <w:r w:rsidRPr="00D20953">
        <w:rPr>
          <w:rFonts w:eastAsia="Calibri" w:cs="Arial"/>
          <w:sz w:val="18"/>
          <w:szCs w:val="18"/>
          <w:lang w:val="en-US"/>
        </w:rPr>
        <w:t xml:space="preserve"> migration in South-South contexts. It looks closely at the contribution of immigration to economic growth, studies the impact of the </w:t>
      </w:r>
      <w:r w:rsidR="0022394E" w:rsidRPr="00D20953">
        <w:rPr>
          <w:rFonts w:eastAsia="Calibri" w:cs="Arial"/>
          <w:sz w:val="18"/>
          <w:szCs w:val="18"/>
          <w:lang w:val="en-US"/>
        </w:rPr>
        <w:t>labor</w:t>
      </w:r>
      <w:r w:rsidRPr="00D20953">
        <w:rPr>
          <w:rFonts w:eastAsia="Calibri" w:cs="Arial"/>
          <w:sz w:val="18"/>
          <w:szCs w:val="18"/>
          <w:lang w:val="en-US"/>
        </w:rPr>
        <w:t xml:space="preserve"> market and the productive sector and reviews the implications of immigration for public finances and public services.</w:t>
      </w:r>
    </w:p>
    <w:p w14:paraId="29BB57DC" w14:textId="19202A81"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lang w:val="en-US"/>
        </w:rPr>
      </w:pPr>
      <w:r w:rsidRPr="00D20953">
        <w:rPr>
          <w:rFonts w:eastAsia="Calibri" w:cs="Arial"/>
          <w:sz w:val="18"/>
          <w:szCs w:val="18"/>
          <w:lang w:val="en-US"/>
        </w:rPr>
        <w:t xml:space="preserve">With the </w:t>
      </w:r>
      <w:hyperlink r:id="rId38" w:history="1">
        <w:r w:rsidR="0022394E" w:rsidRPr="00D20953">
          <w:rPr>
            <w:rFonts w:eastAsia="Calibri" w:cs="Arial"/>
            <w:color w:val="0000FF"/>
            <w:sz w:val="18"/>
            <w:szCs w:val="18"/>
            <w:u w:val="single"/>
            <w:lang w:val="en-US"/>
          </w:rPr>
          <w:t>Labor</w:t>
        </w:r>
        <w:r w:rsidRPr="00D20953">
          <w:rPr>
            <w:rFonts w:eastAsia="Calibri" w:cs="Arial"/>
            <w:color w:val="0000FF"/>
            <w:sz w:val="18"/>
            <w:szCs w:val="18"/>
            <w:u w:val="single"/>
            <w:lang w:val="en-US"/>
          </w:rPr>
          <w:t xml:space="preserve"> Migration Information in </w:t>
        </w:r>
        <w:r w:rsidR="0022394E" w:rsidRPr="00D20953">
          <w:rPr>
            <w:rFonts w:eastAsia="Calibri" w:cs="Arial"/>
            <w:color w:val="0000FF"/>
            <w:sz w:val="18"/>
            <w:szCs w:val="18"/>
            <w:u w:val="single"/>
            <w:lang w:val="en-US"/>
          </w:rPr>
          <w:t>Labor</w:t>
        </w:r>
        <w:r w:rsidRPr="00D20953">
          <w:rPr>
            <w:rFonts w:eastAsia="Calibri" w:cs="Arial"/>
            <w:color w:val="0000FF"/>
            <w:sz w:val="18"/>
            <w:szCs w:val="18"/>
            <w:u w:val="single"/>
            <w:lang w:val="en-US"/>
          </w:rPr>
          <w:t xml:space="preserve"> Market Information System (LMIS)</w:t>
        </w:r>
      </w:hyperlink>
      <w:r w:rsidRPr="00D20953">
        <w:rPr>
          <w:rFonts w:eastAsia="Calibri" w:cs="Arial"/>
          <w:sz w:val="18"/>
          <w:szCs w:val="18"/>
          <w:lang w:val="en-US"/>
        </w:rPr>
        <w:t>, it is Ghana’s</w:t>
      </w:r>
      <w:r w:rsidRPr="00D20953">
        <w:rPr>
          <w:rFonts w:eastAsia="Calibri" w:cs="Arial"/>
          <w:lang w:val="en-US"/>
        </w:rPr>
        <w:t xml:space="preserve"> </w:t>
      </w:r>
      <w:r w:rsidRPr="00D20953">
        <w:rPr>
          <w:rFonts w:eastAsia="Calibri" w:cs="Arial"/>
          <w:sz w:val="18"/>
          <w:szCs w:val="18"/>
          <w:lang w:val="en-US"/>
        </w:rPr>
        <w:t xml:space="preserve">specific objective to strengthen the capacities of the target countries to collect and share </w:t>
      </w:r>
      <w:r w:rsidR="0022394E" w:rsidRPr="00D20953">
        <w:rPr>
          <w:rFonts w:eastAsia="Calibri" w:cs="Arial"/>
          <w:sz w:val="18"/>
          <w:szCs w:val="18"/>
          <w:lang w:val="en-US"/>
        </w:rPr>
        <w:t>labor</w:t>
      </w:r>
      <w:r w:rsidRPr="00D20953">
        <w:rPr>
          <w:rFonts w:eastAsia="Calibri" w:cs="Arial"/>
          <w:sz w:val="18"/>
          <w:szCs w:val="18"/>
          <w:lang w:val="en-US"/>
        </w:rPr>
        <w:t xml:space="preserve"> migration data and feed it into the LMIS and labour migration policy process via mutual learning and exchange of best practices.</w:t>
      </w:r>
    </w:p>
    <w:p w14:paraId="13265A42" w14:textId="77777777" w:rsidR="008D1F16" w:rsidRPr="00D20953" w:rsidRDefault="008D1F16" w:rsidP="008D1F16">
      <w:pPr>
        <w:spacing w:line="360" w:lineRule="auto"/>
        <w:rPr>
          <w:rFonts w:eastAsia="Calibri" w:cs="Arial"/>
          <w:lang w:val="en-US"/>
        </w:rPr>
      </w:pPr>
    </w:p>
    <w:p w14:paraId="41614675" w14:textId="60FB08CD" w:rsidR="008D1F16" w:rsidRPr="00D20953" w:rsidRDefault="008D1F16" w:rsidP="008D1F1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jc w:val="center"/>
        <w:rPr>
          <w:rFonts w:eastAsia="Calibri" w:cs="Arial"/>
          <w:b/>
          <w:sz w:val="18"/>
          <w:szCs w:val="18"/>
          <w:lang w:val="en-US"/>
        </w:rPr>
      </w:pPr>
      <w:r w:rsidRPr="00D20953">
        <w:rPr>
          <w:rFonts w:eastAsia="Calibri" w:cs="Arial"/>
          <w:b/>
          <w:sz w:val="18"/>
          <w:szCs w:val="18"/>
          <w:lang w:val="en-US"/>
        </w:rPr>
        <w:t>Skills Partnerships on Gender Equality</w:t>
      </w:r>
    </w:p>
    <w:p w14:paraId="4BD8BDFC" w14:textId="1FDD8317"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contextualSpacing/>
        <w:rPr>
          <w:rFonts w:eastAsia="Calibri" w:cs="Arial"/>
          <w:sz w:val="18"/>
          <w:szCs w:val="18"/>
          <w:lang w:val="en-US"/>
        </w:rPr>
      </w:pPr>
      <w:r w:rsidRPr="00D20953">
        <w:rPr>
          <w:rFonts w:eastAsia="Calibri" w:cs="Arial"/>
          <w:sz w:val="18"/>
          <w:szCs w:val="18"/>
          <w:lang w:val="en-US"/>
        </w:rPr>
        <w:t xml:space="preserve">In the </w:t>
      </w:r>
      <w:hyperlink r:id="rId39" w:history="1">
        <w:r w:rsidRPr="00D20953">
          <w:rPr>
            <w:rFonts w:eastAsia="Calibri" w:cs="Arial"/>
            <w:color w:val="0000FF"/>
            <w:sz w:val="18"/>
            <w:szCs w:val="18"/>
            <w:u w:val="single"/>
            <w:lang w:val="en-US"/>
          </w:rPr>
          <w:t>Collaborative Action Programme to Prevent Trafficking of Women and Girls in South Asia</w:t>
        </w:r>
      </w:hyperlink>
      <w:r w:rsidRPr="00D20953">
        <w:rPr>
          <w:rFonts w:eastAsia="Calibri" w:cs="Arial"/>
          <w:sz w:val="18"/>
          <w:szCs w:val="18"/>
          <w:lang w:val="en-US"/>
        </w:rPr>
        <w:t xml:space="preserve"> (2013 - 2018), South Asia and the IL</w:t>
      </w:r>
      <w:r w:rsidR="0022394E">
        <w:rPr>
          <w:rFonts w:eastAsia="Calibri" w:cs="Arial"/>
          <w:sz w:val="18"/>
          <w:szCs w:val="18"/>
          <w:lang w:val="en-US"/>
        </w:rPr>
        <w:t xml:space="preserve">O aim to </w:t>
      </w:r>
      <w:r w:rsidRPr="00D20953">
        <w:rPr>
          <w:rFonts w:eastAsia="Calibri" w:cs="Arial"/>
          <w:sz w:val="18"/>
          <w:szCs w:val="18"/>
          <w:lang w:val="en-US"/>
        </w:rPr>
        <w:t>reach 100,000 women and girls in major South Asian countries and major destination countries for an overall reduction of trafficking incidences. Hereby, the program works to empower and better protect women migrant workers and girls.</w:t>
      </w:r>
    </w:p>
    <w:p w14:paraId="54FD5153" w14:textId="77777777"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contextualSpacing/>
        <w:rPr>
          <w:rFonts w:eastAsia="Calibri" w:cs="Arial"/>
          <w:sz w:val="18"/>
          <w:szCs w:val="18"/>
          <w:lang w:val="en-US"/>
        </w:rPr>
      </w:pPr>
      <w:r w:rsidRPr="00D20953">
        <w:rPr>
          <w:rFonts w:eastAsia="Calibri" w:cs="Arial"/>
          <w:sz w:val="18"/>
          <w:szCs w:val="18"/>
          <w:lang w:val="en-US"/>
        </w:rPr>
        <w:t xml:space="preserve">With the </w:t>
      </w:r>
      <w:hyperlink r:id="rId40" w:history="1">
        <w:r w:rsidRPr="00D20953">
          <w:rPr>
            <w:rFonts w:eastAsia="Calibri" w:cs="Arial"/>
            <w:color w:val="0000FF"/>
            <w:sz w:val="18"/>
            <w:szCs w:val="18"/>
            <w:u w:val="single"/>
            <w:lang w:val="en-US"/>
          </w:rPr>
          <w:t>National Rapporteur on Trafficking in Human Beings and Sexual Violence against Children</w:t>
        </w:r>
      </w:hyperlink>
      <w:r w:rsidRPr="00D20953">
        <w:rPr>
          <w:rFonts w:eastAsia="Calibri" w:cs="Arial"/>
          <w:sz w:val="18"/>
          <w:szCs w:val="18"/>
          <w:lang w:val="en-US"/>
        </w:rPr>
        <w:t>, the Netherlands aim to report on the nature and extent of human trafficking and sexual violence against children in the Netherlands, and on the effects of the government policies pursued.</w:t>
      </w:r>
    </w:p>
    <w:p w14:paraId="1525C2C2" w14:textId="77777777" w:rsidR="008D1F16" w:rsidRDefault="008D1F16" w:rsidP="008D1F16">
      <w:pPr>
        <w:spacing w:line="360" w:lineRule="auto"/>
        <w:rPr>
          <w:rFonts w:eastAsia="Calibri" w:cs="Arial"/>
          <w:lang w:val="en-US"/>
        </w:rPr>
      </w:pPr>
    </w:p>
    <w:p w14:paraId="64AD4BA4" w14:textId="77777777" w:rsidR="008D1F16" w:rsidRDefault="008D1F16" w:rsidP="008D1F16">
      <w:pPr>
        <w:spacing w:line="360" w:lineRule="auto"/>
        <w:rPr>
          <w:rFonts w:eastAsia="Calibri" w:cs="Arial"/>
          <w:lang w:val="en-US"/>
        </w:rPr>
      </w:pPr>
    </w:p>
    <w:p w14:paraId="673BB123" w14:textId="77777777" w:rsidR="008D1F16" w:rsidRDefault="008D1F16" w:rsidP="008D1F16">
      <w:pPr>
        <w:spacing w:line="360" w:lineRule="auto"/>
        <w:rPr>
          <w:rFonts w:eastAsia="Calibri" w:cs="Arial"/>
          <w:lang w:val="en-US"/>
        </w:rPr>
      </w:pPr>
    </w:p>
    <w:p w14:paraId="78076E64" w14:textId="77777777" w:rsidR="008D1F16" w:rsidRDefault="008D1F16" w:rsidP="008D1F16">
      <w:pPr>
        <w:spacing w:line="360" w:lineRule="auto"/>
        <w:rPr>
          <w:rFonts w:eastAsia="Calibri" w:cs="Arial"/>
          <w:lang w:val="en-US"/>
        </w:rPr>
      </w:pPr>
    </w:p>
    <w:p w14:paraId="5022FAFF" w14:textId="77777777" w:rsidR="008D1F16" w:rsidRDefault="008D1F16" w:rsidP="008D1F16">
      <w:pPr>
        <w:spacing w:line="360" w:lineRule="auto"/>
        <w:rPr>
          <w:rFonts w:eastAsia="Calibri" w:cs="Arial"/>
          <w:lang w:val="en-US"/>
        </w:rPr>
      </w:pPr>
    </w:p>
    <w:p w14:paraId="6903EE76" w14:textId="77777777" w:rsidR="008D1F16" w:rsidRPr="00D20953" w:rsidRDefault="008D1F16" w:rsidP="008D1F16">
      <w:pPr>
        <w:spacing w:line="360" w:lineRule="auto"/>
        <w:rPr>
          <w:rFonts w:eastAsia="Calibri" w:cs="Arial"/>
          <w:lang w:val="en-US"/>
        </w:rPr>
      </w:pPr>
    </w:p>
    <w:p w14:paraId="56E01F4D" w14:textId="198D7AB0" w:rsidR="008D1F16" w:rsidRPr="00D20953" w:rsidRDefault="008D1F16" w:rsidP="008D1F1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120"/>
        <w:jc w:val="center"/>
        <w:rPr>
          <w:rFonts w:eastAsia="Calibri" w:cs="Arial"/>
          <w:b/>
          <w:sz w:val="18"/>
          <w:szCs w:val="18"/>
          <w:lang w:val="en-US"/>
        </w:rPr>
      </w:pPr>
      <w:r w:rsidRPr="00D20953">
        <w:rPr>
          <w:rFonts w:eastAsia="Calibri" w:cs="Arial"/>
          <w:b/>
          <w:sz w:val="18"/>
          <w:szCs w:val="18"/>
          <w:lang w:val="en-US"/>
        </w:rPr>
        <w:t>Skills Partnerships on Good Health</w:t>
      </w:r>
    </w:p>
    <w:p w14:paraId="6F1D9F2B" w14:textId="655E54AD"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In the </w:t>
      </w:r>
      <w:hyperlink r:id="rId41" w:history="1">
        <w:r w:rsidRPr="00D20953">
          <w:rPr>
            <w:rFonts w:eastAsia="Calibri" w:cs="Arial"/>
            <w:color w:val="0000FF"/>
            <w:sz w:val="18"/>
            <w:szCs w:val="18"/>
            <w:u w:val="single"/>
            <w:lang w:val="en-US"/>
          </w:rPr>
          <w:t>UK Code Of Practice For The Ethical Recruitment Of International Healthcare Professionals</w:t>
        </w:r>
      </w:hyperlink>
      <w:r w:rsidRPr="00D20953">
        <w:rPr>
          <w:rFonts w:eastAsia="Calibri" w:cs="Arial"/>
          <w:sz w:val="18"/>
          <w:szCs w:val="18"/>
          <w:lang w:val="en-US"/>
        </w:rPr>
        <w:t>, the United Kingdom, reflects the principles</w:t>
      </w:r>
      <w:r w:rsidRPr="00D20953">
        <w:rPr>
          <w:rFonts w:eastAsia="Calibri" w:cs="Arial"/>
          <w:lang w:val="en-US"/>
        </w:rPr>
        <w:t xml:space="preserve"> </w:t>
      </w:r>
      <w:r w:rsidRPr="00D20953">
        <w:rPr>
          <w:rFonts w:eastAsia="Calibri" w:cs="Arial"/>
          <w:sz w:val="18"/>
          <w:szCs w:val="18"/>
          <w:lang w:val="en-US"/>
        </w:rPr>
        <w:t xml:space="preserve">and benchmarks set out in the World Health </w:t>
      </w:r>
      <w:r w:rsidR="0022394E" w:rsidRPr="00D20953">
        <w:rPr>
          <w:rFonts w:eastAsia="Calibri" w:cs="Arial"/>
          <w:sz w:val="18"/>
          <w:szCs w:val="18"/>
          <w:lang w:val="en-US"/>
        </w:rPr>
        <w:t>Organization</w:t>
      </w:r>
      <w:r w:rsidRPr="00D20953">
        <w:rPr>
          <w:rFonts w:eastAsia="Calibri" w:cs="Arial"/>
          <w:sz w:val="18"/>
          <w:szCs w:val="18"/>
          <w:lang w:val="en-US"/>
        </w:rPr>
        <w:t xml:space="preserve"> (WHO) Code of Practice, which promotes voluntary principles and practices in the ethical recruitment of international healthcare professionals within member states of the European community.</w:t>
      </w:r>
    </w:p>
    <w:p w14:paraId="5E70186D" w14:textId="77777777" w:rsidR="008D1F16" w:rsidRPr="00D20953"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In the </w:t>
      </w:r>
      <w:hyperlink r:id="rId42" w:history="1">
        <w:r w:rsidRPr="00D20953">
          <w:rPr>
            <w:rFonts w:eastAsia="Calibri" w:cs="Arial"/>
            <w:color w:val="0000FF"/>
            <w:sz w:val="18"/>
            <w:szCs w:val="18"/>
            <w:u w:val="single"/>
            <w:lang w:val="en-US"/>
          </w:rPr>
          <w:t>WHO Global Code of Practice on the International Recruitment of Health Personnel</w:t>
        </w:r>
      </w:hyperlink>
      <w:r w:rsidRPr="00D20953">
        <w:rPr>
          <w:rFonts w:eastAsia="Calibri" w:cs="Arial"/>
          <w:sz w:val="18"/>
          <w:szCs w:val="18"/>
          <w:lang w:val="en-US"/>
        </w:rPr>
        <w:t>, Norway implements the WHO Code of Practice by scaling up education for relevant personnel to ensure sustainability of its own health care system. It has formally stopped recruiting health personnel from countries facing critical shortages in the health workforce.</w:t>
      </w:r>
    </w:p>
    <w:p w14:paraId="0D65E558" w14:textId="77777777" w:rsidR="008D1F16" w:rsidRDefault="008D1F16" w:rsidP="008D1F16">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Kenya, in the </w:t>
      </w:r>
      <w:hyperlink r:id="rId43" w:history="1">
        <w:r w:rsidRPr="00D20953">
          <w:rPr>
            <w:rFonts w:eastAsia="Calibri" w:cs="Arial"/>
            <w:color w:val="0000FF"/>
            <w:sz w:val="18"/>
            <w:szCs w:val="18"/>
            <w:u w:val="single"/>
            <w:lang w:val="en-US"/>
          </w:rPr>
          <w:t>WHO Global Code of Practice on the International Recruitment of Health Personnel</w:t>
        </w:r>
      </w:hyperlink>
      <w:r w:rsidRPr="00D20953">
        <w:rPr>
          <w:rFonts w:eastAsia="Calibri" w:cs="Arial"/>
          <w:sz w:val="18"/>
          <w:szCs w:val="18"/>
          <w:lang w:val="en-US"/>
        </w:rPr>
        <w:t>, is working to incorporate the voluntary WHO Code of Practice into national law. It entered into bilateral agreements with certain countries (including Namibia, Lesotho and Rwanda) regarding collaborative health workforce training and promotion of circular migration of health workers (involving the temporary or permanent return to their home countries).</w:t>
      </w:r>
    </w:p>
    <w:p w14:paraId="6D605CF0" w14:textId="77777777" w:rsidR="0022394E" w:rsidRPr="00D20953" w:rsidRDefault="0022394E" w:rsidP="0022394E">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lang w:val="en-US"/>
        </w:rPr>
      </w:pPr>
      <w:r w:rsidRPr="00D20953">
        <w:rPr>
          <w:rFonts w:eastAsia="Calibri" w:cs="Arial"/>
          <w:sz w:val="18"/>
          <w:szCs w:val="18"/>
          <w:lang w:val="en-US"/>
        </w:rPr>
        <w:t xml:space="preserve">In the </w:t>
      </w:r>
      <w:hyperlink r:id="rId44" w:history="1">
        <w:r w:rsidRPr="00D20953">
          <w:rPr>
            <w:rFonts w:eastAsia="Calibri" w:cs="Arial"/>
            <w:color w:val="0000FF"/>
            <w:sz w:val="18"/>
            <w:szCs w:val="18"/>
            <w:u w:val="single"/>
            <w:lang w:val="en-US"/>
          </w:rPr>
          <w:t>Global Health Workforce Alliance</w:t>
        </w:r>
      </w:hyperlink>
      <w:r w:rsidRPr="00D20953">
        <w:rPr>
          <w:rFonts w:eastAsia="Calibri" w:cs="Arial"/>
          <w:sz w:val="18"/>
          <w:szCs w:val="18"/>
          <w:lang w:val="en-US"/>
        </w:rPr>
        <w:t>, the United Kingdom together with Nigeria, Zambia, Malawi, Sierra Leone, India, South Africa and Nepal aim to support robust health systems with human resource planning to mobilize funds for training, maintenance, retention and a better distribution of the health workforce to serve those in the greatest needs in low-income countries.</w:t>
      </w:r>
    </w:p>
    <w:p w14:paraId="698E2036" w14:textId="77777777" w:rsidR="0022394E" w:rsidRPr="00D20953" w:rsidRDefault="0022394E" w:rsidP="0022394E">
      <w:pPr>
        <w:numPr>
          <w:ilvl w:val="0"/>
          <w:numId w:val="38"/>
        </w:num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contextualSpacing/>
        <w:jc w:val="both"/>
        <w:rPr>
          <w:rFonts w:eastAsia="Calibri" w:cs="Arial"/>
          <w:sz w:val="18"/>
          <w:szCs w:val="18"/>
          <w:lang w:val="en-US"/>
        </w:rPr>
      </w:pPr>
      <w:r w:rsidRPr="00D20953">
        <w:rPr>
          <w:rFonts w:eastAsia="Calibri" w:cs="Arial"/>
          <w:sz w:val="18"/>
          <w:szCs w:val="18"/>
          <w:lang w:val="en-US"/>
        </w:rPr>
        <w:t xml:space="preserve">In a </w:t>
      </w:r>
      <w:hyperlink r:id="rId45" w:history="1">
        <w:r w:rsidRPr="00D20953">
          <w:rPr>
            <w:rFonts w:eastAsia="Calibri" w:cs="Arial"/>
            <w:color w:val="0000FF"/>
            <w:sz w:val="18"/>
            <w:szCs w:val="18"/>
            <w:u w:val="single"/>
            <w:lang w:val="en-US"/>
          </w:rPr>
          <w:t>Memorandum of Agreement on Healthcare Services Cooperation</w:t>
        </w:r>
      </w:hyperlink>
      <w:r w:rsidRPr="00D20953">
        <w:rPr>
          <w:rFonts w:eastAsia="Calibri" w:cs="Arial"/>
          <w:sz w:val="18"/>
          <w:szCs w:val="18"/>
          <w:lang w:val="en-US"/>
        </w:rPr>
        <w:t xml:space="preserve"> the Philippines and Bahrain aim at creating alliances between healthcare and educational institutions to produce sustainable international education, training and professional/technical development programs.</w:t>
      </w:r>
    </w:p>
    <w:p w14:paraId="6D9A264F" w14:textId="77777777" w:rsidR="008D1F16" w:rsidRPr="00D20953" w:rsidRDefault="008D1F16" w:rsidP="008D1F16">
      <w:pPr>
        <w:spacing w:line="360" w:lineRule="auto"/>
        <w:rPr>
          <w:rFonts w:eastAsia="Calibri" w:cs="Arial"/>
          <w:lang w:val="en-US"/>
        </w:rPr>
      </w:pPr>
    </w:p>
    <w:p w14:paraId="4DBC9E02" w14:textId="77777777" w:rsidR="008D1F16" w:rsidRPr="00E34E72" w:rsidRDefault="008D1F16" w:rsidP="008D1F16">
      <w:pPr>
        <w:spacing w:line="360" w:lineRule="auto"/>
        <w:jc w:val="center"/>
        <w:rPr>
          <w:rFonts w:ascii="Arial" w:hAnsi="Arial" w:cs="Arial"/>
          <w:lang w:val="en-US"/>
        </w:rPr>
      </w:pPr>
    </w:p>
    <w:sectPr w:rsidR="008D1F16" w:rsidRPr="00E34E72" w:rsidSect="00D123E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9552" w14:textId="77777777" w:rsidR="0036481C" w:rsidRDefault="0036481C" w:rsidP="00C954DC">
      <w:pPr>
        <w:spacing w:after="0" w:line="240" w:lineRule="auto"/>
      </w:pPr>
      <w:r>
        <w:separator/>
      </w:r>
    </w:p>
  </w:endnote>
  <w:endnote w:type="continuationSeparator" w:id="0">
    <w:p w14:paraId="14CA7DA5" w14:textId="77777777" w:rsidR="0036481C" w:rsidRDefault="0036481C" w:rsidP="00C9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09673"/>
      <w:docPartObj>
        <w:docPartGallery w:val="Page Numbers (Bottom of Page)"/>
        <w:docPartUnique/>
      </w:docPartObj>
    </w:sdtPr>
    <w:sdtEndPr/>
    <w:sdtContent>
      <w:p w14:paraId="46496108" w14:textId="77777777" w:rsidR="00D24B28" w:rsidRDefault="00D24B28">
        <w:pPr>
          <w:pStyle w:val="Footer"/>
          <w:jc w:val="center"/>
        </w:pPr>
        <w:r>
          <w:fldChar w:fldCharType="begin"/>
        </w:r>
        <w:r>
          <w:instrText>PAGE   \* MERGEFORMAT</w:instrText>
        </w:r>
        <w:r>
          <w:fldChar w:fldCharType="separate"/>
        </w:r>
        <w:r w:rsidR="00046BEF">
          <w:rPr>
            <w:noProof/>
          </w:rPr>
          <w:t>15</w:t>
        </w:r>
        <w:r>
          <w:fldChar w:fldCharType="end"/>
        </w:r>
      </w:p>
    </w:sdtContent>
  </w:sdt>
  <w:p w14:paraId="081C42C8" w14:textId="77777777" w:rsidR="00D24B28" w:rsidRDefault="00D2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83EBE" w14:textId="77777777" w:rsidR="0036481C" w:rsidRDefault="0036481C" w:rsidP="00C954DC">
      <w:pPr>
        <w:spacing w:after="0" w:line="240" w:lineRule="auto"/>
      </w:pPr>
      <w:r>
        <w:separator/>
      </w:r>
    </w:p>
  </w:footnote>
  <w:footnote w:type="continuationSeparator" w:id="0">
    <w:p w14:paraId="44BCAD55" w14:textId="77777777" w:rsidR="0036481C" w:rsidRDefault="0036481C" w:rsidP="00C954DC">
      <w:pPr>
        <w:spacing w:after="0" w:line="240" w:lineRule="auto"/>
      </w:pPr>
      <w:r>
        <w:continuationSeparator/>
      </w:r>
    </w:p>
  </w:footnote>
  <w:footnote w:id="1">
    <w:p w14:paraId="220BC17A" w14:textId="77777777" w:rsidR="00D24B28" w:rsidRPr="00F00B0C" w:rsidRDefault="00D24B28">
      <w:pPr>
        <w:pStyle w:val="FootnoteText"/>
        <w:rPr>
          <w:lang w:val="en-US"/>
        </w:rPr>
      </w:pPr>
      <w:r>
        <w:rPr>
          <w:rStyle w:val="FootnoteReference"/>
        </w:rPr>
        <w:footnoteRef/>
      </w:r>
      <w:r w:rsidRPr="00020D37">
        <w:rPr>
          <w:lang w:val="en-US"/>
        </w:rPr>
        <w:t xml:space="preserve"> </w:t>
      </w:r>
      <w:r>
        <w:rPr>
          <w:lang w:val="en-US"/>
        </w:rPr>
        <w:t>Another important reference document includes the Addis Ababa Action Agenda (on financing migration-related activities).</w:t>
      </w:r>
    </w:p>
  </w:footnote>
  <w:footnote w:id="2">
    <w:p w14:paraId="380A1F51" w14:textId="77777777" w:rsidR="00D24B28" w:rsidRPr="006A28E7" w:rsidRDefault="00D24B28">
      <w:pPr>
        <w:pStyle w:val="FootnoteText"/>
        <w:rPr>
          <w:lang w:val="en-US"/>
        </w:rPr>
      </w:pPr>
      <w:r>
        <w:rPr>
          <w:rStyle w:val="FootnoteReference"/>
        </w:rPr>
        <w:footnoteRef/>
      </w:r>
      <w:r w:rsidRPr="006A28E7">
        <w:rPr>
          <w:lang w:val="en-US"/>
        </w:rPr>
        <w:t xml:space="preserve"> </w:t>
      </w:r>
      <w:r w:rsidRPr="00055535">
        <w:rPr>
          <w:lang w:val="en-US"/>
        </w:rPr>
        <w:t>Refugees, internally displaced persons and migrants are identified among the vulnerable people who must be empowered, and whose needs are reflected in the 2030 Agenda in paragraph 23 of th</w:t>
      </w:r>
      <w:r>
        <w:rPr>
          <w:lang w:val="en-US"/>
        </w:rPr>
        <w:t>is Agenda.</w:t>
      </w:r>
      <w:r w:rsidRPr="00055535">
        <w:rPr>
          <w:lang w:val="en-US"/>
        </w:rPr>
        <w:t xml:space="preserve"> </w:t>
      </w:r>
      <w:r>
        <w:rPr>
          <w:lang w:val="en-US"/>
        </w:rPr>
        <w:t>Furthermore, paragraph 4 of the 2030 Agenda includes a pledge to leave no one behind and to endeavor to reach the furthest behind first.</w:t>
      </w:r>
    </w:p>
  </w:footnote>
  <w:footnote w:id="3">
    <w:p w14:paraId="77603087" w14:textId="77777777" w:rsidR="00D24B28" w:rsidRPr="00931FE1" w:rsidRDefault="00D24B28">
      <w:pPr>
        <w:pStyle w:val="FootnoteText"/>
        <w:rPr>
          <w:lang w:val="en-US"/>
        </w:rPr>
      </w:pPr>
      <w:r>
        <w:rPr>
          <w:rStyle w:val="FootnoteReference"/>
        </w:rPr>
        <w:footnoteRef/>
      </w:r>
      <w:r w:rsidRPr="00931FE1">
        <w:rPr>
          <w:lang w:val="en-US"/>
        </w:rPr>
        <w:t xml:space="preserve"> </w:t>
      </w:r>
      <w:r>
        <w:rPr>
          <w:lang w:val="en-US"/>
        </w:rPr>
        <w:t>Paragraph 29 of the 2030 Agenda “recognize[s] the positive contribution of migrants for inclusive growth and sustainable development.</w:t>
      </w:r>
    </w:p>
  </w:footnote>
  <w:footnote w:id="4">
    <w:p w14:paraId="40329D89" w14:textId="77777777" w:rsidR="00D24B28" w:rsidRPr="00CA4D18" w:rsidRDefault="00D24B28" w:rsidP="009C263E">
      <w:pPr>
        <w:pStyle w:val="FootnoteText"/>
        <w:jc w:val="both"/>
        <w:rPr>
          <w:lang w:val="en-US"/>
        </w:rPr>
      </w:pPr>
      <w:r>
        <w:rPr>
          <w:rStyle w:val="FootnoteReference"/>
        </w:rPr>
        <w:footnoteRef/>
      </w:r>
      <w:r w:rsidRPr="00CA4D18">
        <w:rPr>
          <w:lang w:val="en-US"/>
        </w:rPr>
        <w:t xml:space="preserve"> </w:t>
      </w:r>
      <w:r>
        <w:rPr>
          <w:lang w:val="en-US"/>
        </w:rPr>
        <w:t xml:space="preserve">These and all following policies and practices are available at the </w:t>
      </w:r>
      <w:hyperlink r:id="rId1" w:history="1">
        <w:r w:rsidRPr="00004549">
          <w:rPr>
            <w:rStyle w:val="Hyperlink"/>
            <w:lang w:val="en-US"/>
          </w:rPr>
          <w:t>GFMD Platform for Partnership</w:t>
        </w:r>
      </w:hyperlink>
      <w:r>
        <w:rPr>
          <w:lang w:val="en-US"/>
        </w:rPr>
        <w:t xml:space="preserve"> (PfP), an online database featuring </w:t>
      </w:r>
      <w:r w:rsidRPr="00004549">
        <w:rPr>
          <w:lang w:val="en-US"/>
        </w:rPr>
        <w:t>govern</w:t>
      </w:r>
      <w:r>
        <w:rPr>
          <w:lang w:val="en-US"/>
        </w:rPr>
        <w:t xml:space="preserve">ment policies and programs </w:t>
      </w:r>
      <w:r w:rsidRPr="00004549">
        <w:rPr>
          <w:lang w:val="en-US"/>
        </w:rPr>
        <w:t>that have been inspired by GFMD discussions and recommendations.</w:t>
      </w:r>
      <w:r>
        <w:rPr>
          <w:lang w:val="en-US"/>
        </w:rPr>
        <w:t xml:space="preserve"> Since there are over 800 policies available, those listed here represent only a small selection and serve illustrative purposes only. Additional information can be found by following the hyperlinks provided in the boxes.</w:t>
      </w:r>
    </w:p>
  </w:footnote>
  <w:footnote w:id="5">
    <w:p w14:paraId="70D25939" w14:textId="77777777" w:rsidR="00D24B28" w:rsidRPr="00E15FDE" w:rsidRDefault="00D24B28">
      <w:pPr>
        <w:pStyle w:val="FootnoteText"/>
        <w:rPr>
          <w:lang w:val="en-US"/>
        </w:rPr>
      </w:pPr>
      <w:r>
        <w:rPr>
          <w:rStyle w:val="FootnoteReference"/>
        </w:rPr>
        <w:footnoteRef/>
      </w:r>
      <w:r w:rsidRPr="00E15FDE">
        <w:rPr>
          <w:lang w:val="en-US"/>
        </w:rPr>
        <w:t xml:space="preserve"> </w:t>
      </w:r>
      <w:r>
        <w:rPr>
          <w:lang w:val="en-US"/>
        </w:rPr>
        <w:t>Migration and Remittances Factbook, 2016, World Bank</w:t>
      </w:r>
    </w:p>
  </w:footnote>
  <w:footnote w:id="6">
    <w:p w14:paraId="50B5D259" w14:textId="77777777" w:rsidR="00D24B28" w:rsidRPr="00761B7A" w:rsidRDefault="00D24B28">
      <w:pPr>
        <w:pStyle w:val="FootnoteText"/>
        <w:rPr>
          <w:lang w:val="en-US"/>
        </w:rPr>
      </w:pPr>
      <w:r>
        <w:rPr>
          <w:rStyle w:val="FootnoteReference"/>
        </w:rPr>
        <w:footnoteRef/>
      </w:r>
      <w:r w:rsidRPr="00761B7A">
        <w:rPr>
          <w:lang w:val="en-US"/>
        </w:rPr>
        <w:t xml:space="preserve"> </w:t>
      </w:r>
      <w:r>
        <w:rPr>
          <w:lang w:val="en-US"/>
        </w:rPr>
        <w:t xml:space="preserve">While discussions on development-oriented migration policies tend to focus on the national and global levels, there is not enough attention on the sub-national level. However, it is mostly at </w:t>
      </w:r>
      <w:r w:rsidRPr="00E04D9E">
        <w:rPr>
          <w:lang w:val="en-US"/>
        </w:rPr>
        <w:t>the sub-national level</w:t>
      </w:r>
      <w:r w:rsidRPr="00690A6C">
        <w:rPr>
          <w:b/>
          <w:lang w:val="en-US"/>
        </w:rPr>
        <w:t xml:space="preserve"> </w:t>
      </w:r>
      <w:r>
        <w:rPr>
          <w:lang w:val="en-US"/>
        </w:rPr>
        <w:t>where Diaspora engagement projects are implemented, integration takes place and the results of migration policies are most visible. Sub-national or sub-regional migration partnerships place the local actors at the center and many successful cooperation examples in the PfP prove the potential of this approach.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957"/>
    <w:multiLevelType w:val="hybridMultilevel"/>
    <w:tmpl w:val="2DB4A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56DCF"/>
    <w:multiLevelType w:val="hybridMultilevel"/>
    <w:tmpl w:val="CEF410BC"/>
    <w:lvl w:ilvl="0" w:tplc="647A3862">
      <w:start w:val="6"/>
      <w:numFmt w:val="bullet"/>
      <w:lvlText w:val="-"/>
      <w:lvlJc w:val="left"/>
      <w:pPr>
        <w:ind w:left="720" w:hanging="360"/>
      </w:pPr>
      <w:rPr>
        <w:rFonts w:ascii="Calibri" w:eastAsiaTheme="minorHAnsi" w:hAnsi="Calibri" w:cs="Calibri"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16B49"/>
    <w:multiLevelType w:val="hybridMultilevel"/>
    <w:tmpl w:val="3C18C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95737D"/>
    <w:multiLevelType w:val="hybridMultilevel"/>
    <w:tmpl w:val="78B8BB08"/>
    <w:lvl w:ilvl="0" w:tplc="34BEE2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679D5"/>
    <w:multiLevelType w:val="hybridMultilevel"/>
    <w:tmpl w:val="50A43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8469A"/>
    <w:multiLevelType w:val="hybridMultilevel"/>
    <w:tmpl w:val="76A2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F6C1B"/>
    <w:multiLevelType w:val="hybridMultilevel"/>
    <w:tmpl w:val="4CBAF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BF2373"/>
    <w:multiLevelType w:val="hybridMultilevel"/>
    <w:tmpl w:val="43DE02C8"/>
    <w:lvl w:ilvl="0" w:tplc="86084CB6">
      <w:start w:val="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6BD4BC9"/>
    <w:multiLevelType w:val="hybridMultilevel"/>
    <w:tmpl w:val="4C2C8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3027A"/>
    <w:multiLevelType w:val="hybridMultilevel"/>
    <w:tmpl w:val="87A09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643A21"/>
    <w:multiLevelType w:val="hybridMultilevel"/>
    <w:tmpl w:val="7AA6AC3E"/>
    <w:lvl w:ilvl="0" w:tplc="34BEE2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AC72FD"/>
    <w:multiLevelType w:val="hybridMultilevel"/>
    <w:tmpl w:val="6E82D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536A06"/>
    <w:multiLevelType w:val="hybridMultilevel"/>
    <w:tmpl w:val="AD9A5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D01F37"/>
    <w:multiLevelType w:val="hybridMultilevel"/>
    <w:tmpl w:val="466AB06E"/>
    <w:lvl w:ilvl="0" w:tplc="34BEE2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CB0FA8"/>
    <w:multiLevelType w:val="hybridMultilevel"/>
    <w:tmpl w:val="B5D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7B6B6F"/>
    <w:multiLevelType w:val="hybridMultilevel"/>
    <w:tmpl w:val="A9DCF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412D16"/>
    <w:multiLevelType w:val="hybridMultilevel"/>
    <w:tmpl w:val="BD9A4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F16839"/>
    <w:multiLevelType w:val="hybridMultilevel"/>
    <w:tmpl w:val="77AC6526"/>
    <w:lvl w:ilvl="0" w:tplc="647A3862">
      <w:start w:val="6"/>
      <w:numFmt w:val="bullet"/>
      <w:lvlText w:val="-"/>
      <w:lvlJc w:val="left"/>
      <w:pPr>
        <w:ind w:left="720" w:hanging="360"/>
      </w:pPr>
      <w:rPr>
        <w:rFonts w:ascii="Calibri" w:eastAsiaTheme="minorHAnsi" w:hAnsi="Calibri" w:cs="Calibri"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0008A"/>
    <w:multiLevelType w:val="hybridMultilevel"/>
    <w:tmpl w:val="D4D6B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732AB7"/>
    <w:multiLevelType w:val="hybridMultilevel"/>
    <w:tmpl w:val="C13476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4B7C50"/>
    <w:multiLevelType w:val="hybridMultilevel"/>
    <w:tmpl w:val="D680A260"/>
    <w:lvl w:ilvl="0" w:tplc="00CAB6E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4C775A"/>
    <w:multiLevelType w:val="hybridMultilevel"/>
    <w:tmpl w:val="216EF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0F44B9"/>
    <w:multiLevelType w:val="hybridMultilevel"/>
    <w:tmpl w:val="5D260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1457A0"/>
    <w:multiLevelType w:val="hybridMultilevel"/>
    <w:tmpl w:val="2E56F6C4"/>
    <w:lvl w:ilvl="0" w:tplc="4266B0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AB37D9"/>
    <w:multiLevelType w:val="hybridMultilevel"/>
    <w:tmpl w:val="376808B0"/>
    <w:lvl w:ilvl="0" w:tplc="AEBC11E6">
      <w:start w:val="1"/>
      <w:numFmt w:val="decimal"/>
      <w:lvlText w:val="%1."/>
      <w:lvlJc w:val="left"/>
      <w:pPr>
        <w:ind w:left="360" w:hanging="360"/>
      </w:pPr>
      <w:rPr>
        <w:rFonts w:asciiTheme="minorHAnsi" w:eastAsiaTheme="minorHAnsi" w:hAnsiTheme="minorHAnsi" w:cstheme="minorBid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440F4B"/>
    <w:multiLevelType w:val="hybridMultilevel"/>
    <w:tmpl w:val="E246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4C498A"/>
    <w:multiLevelType w:val="hybridMultilevel"/>
    <w:tmpl w:val="CFCC8472"/>
    <w:lvl w:ilvl="0" w:tplc="CEF4E626">
      <w:start w:val="1"/>
      <w:numFmt w:val="bullet"/>
      <w:lvlText w:val=""/>
      <w:lvlJc w:val="left"/>
      <w:pPr>
        <w:ind w:left="1354" w:hanging="360"/>
      </w:pPr>
      <w:rPr>
        <w:rFonts w:ascii="Symbol" w:hAnsi="Symbol" w:hint="default"/>
        <w:sz w:val="20"/>
        <w:szCs w:val="20"/>
      </w:rPr>
    </w:lvl>
    <w:lvl w:ilvl="1" w:tplc="04070003">
      <w:start w:val="1"/>
      <w:numFmt w:val="bullet"/>
      <w:lvlText w:val="o"/>
      <w:lvlJc w:val="left"/>
      <w:pPr>
        <w:ind w:left="2074" w:hanging="360"/>
      </w:pPr>
      <w:rPr>
        <w:rFonts w:ascii="Courier New" w:hAnsi="Courier New" w:cs="Courier New" w:hint="default"/>
      </w:rPr>
    </w:lvl>
    <w:lvl w:ilvl="2" w:tplc="04070005">
      <w:start w:val="1"/>
      <w:numFmt w:val="bullet"/>
      <w:lvlText w:val=""/>
      <w:lvlJc w:val="left"/>
      <w:pPr>
        <w:ind w:left="2794" w:hanging="360"/>
      </w:pPr>
      <w:rPr>
        <w:rFonts w:ascii="Wingdings" w:hAnsi="Wingdings" w:hint="default"/>
      </w:rPr>
    </w:lvl>
    <w:lvl w:ilvl="3" w:tplc="04070001" w:tentative="1">
      <w:start w:val="1"/>
      <w:numFmt w:val="bullet"/>
      <w:lvlText w:val=""/>
      <w:lvlJc w:val="left"/>
      <w:pPr>
        <w:ind w:left="3514" w:hanging="360"/>
      </w:pPr>
      <w:rPr>
        <w:rFonts w:ascii="Symbol" w:hAnsi="Symbol" w:hint="default"/>
      </w:rPr>
    </w:lvl>
    <w:lvl w:ilvl="4" w:tplc="04070003" w:tentative="1">
      <w:start w:val="1"/>
      <w:numFmt w:val="bullet"/>
      <w:lvlText w:val="o"/>
      <w:lvlJc w:val="left"/>
      <w:pPr>
        <w:ind w:left="4234" w:hanging="360"/>
      </w:pPr>
      <w:rPr>
        <w:rFonts w:ascii="Courier New" w:hAnsi="Courier New" w:cs="Courier New" w:hint="default"/>
      </w:rPr>
    </w:lvl>
    <w:lvl w:ilvl="5" w:tplc="04070005" w:tentative="1">
      <w:start w:val="1"/>
      <w:numFmt w:val="bullet"/>
      <w:lvlText w:val=""/>
      <w:lvlJc w:val="left"/>
      <w:pPr>
        <w:ind w:left="4954" w:hanging="360"/>
      </w:pPr>
      <w:rPr>
        <w:rFonts w:ascii="Wingdings" w:hAnsi="Wingdings" w:hint="default"/>
      </w:rPr>
    </w:lvl>
    <w:lvl w:ilvl="6" w:tplc="04070001" w:tentative="1">
      <w:start w:val="1"/>
      <w:numFmt w:val="bullet"/>
      <w:lvlText w:val=""/>
      <w:lvlJc w:val="left"/>
      <w:pPr>
        <w:ind w:left="5674" w:hanging="360"/>
      </w:pPr>
      <w:rPr>
        <w:rFonts w:ascii="Symbol" w:hAnsi="Symbol" w:hint="default"/>
      </w:rPr>
    </w:lvl>
    <w:lvl w:ilvl="7" w:tplc="04070003" w:tentative="1">
      <w:start w:val="1"/>
      <w:numFmt w:val="bullet"/>
      <w:lvlText w:val="o"/>
      <w:lvlJc w:val="left"/>
      <w:pPr>
        <w:ind w:left="6394" w:hanging="360"/>
      </w:pPr>
      <w:rPr>
        <w:rFonts w:ascii="Courier New" w:hAnsi="Courier New" w:cs="Courier New" w:hint="default"/>
      </w:rPr>
    </w:lvl>
    <w:lvl w:ilvl="8" w:tplc="04070005" w:tentative="1">
      <w:start w:val="1"/>
      <w:numFmt w:val="bullet"/>
      <w:lvlText w:val=""/>
      <w:lvlJc w:val="left"/>
      <w:pPr>
        <w:ind w:left="7114" w:hanging="360"/>
      </w:pPr>
      <w:rPr>
        <w:rFonts w:ascii="Wingdings" w:hAnsi="Wingdings" w:hint="default"/>
      </w:rPr>
    </w:lvl>
  </w:abstractNum>
  <w:abstractNum w:abstractNumId="27" w15:restartNumberingAfterBreak="0">
    <w:nsid w:val="53AF1F39"/>
    <w:multiLevelType w:val="hybridMultilevel"/>
    <w:tmpl w:val="4A3C546A"/>
    <w:lvl w:ilvl="0" w:tplc="08225C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F81F5B"/>
    <w:multiLevelType w:val="hybridMultilevel"/>
    <w:tmpl w:val="7CCE4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7965E68"/>
    <w:multiLevelType w:val="hybridMultilevel"/>
    <w:tmpl w:val="1CBCD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697F55"/>
    <w:multiLevelType w:val="hybridMultilevel"/>
    <w:tmpl w:val="8D347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B134B1"/>
    <w:multiLevelType w:val="hybridMultilevel"/>
    <w:tmpl w:val="214CA304"/>
    <w:lvl w:ilvl="0" w:tplc="8B7A6F0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4715B3"/>
    <w:multiLevelType w:val="hybridMultilevel"/>
    <w:tmpl w:val="2BB63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D64048"/>
    <w:multiLevelType w:val="hybridMultilevel"/>
    <w:tmpl w:val="7B62C33E"/>
    <w:lvl w:ilvl="0" w:tplc="23FCD240">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3D4BC1"/>
    <w:multiLevelType w:val="hybridMultilevel"/>
    <w:tmpl w:val="C2280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9E4F98"/>
    <w:multiLevelType w:val="hybridMultilevel"/>
    <w:tmpl w:val="5D1C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655250"/>
    <w:multiLevelType w:val="hybridMultilevel"/>
    <w:tmpl w:val="2618D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0A5A7B"/>
    <w:multiLevelType w:val="hybridMultilevel"/>
    <w:tmpl w:val="CD5CE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436690"/>
    <w:multiLevelType w:val="hybridMultilevel"/>
    <w:tmpl w:val="43B4ABDC"/>
    <w:lvl w:ilvl="0" w:tplc="34BEE2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740461"/>
    <w:multiLevelType w:val="hybridMultilevel"/>
    <w:tmpl w:val="82AC90F6"/>
    <w:lvl w:ilvl="0" w:tplc="6C6030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C07E7E"/>
    <w:multiLevelType w:val="hybridMultilevel"/>
    <w:tmpl w:val="8F94AB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5661BF"/>
    <w:multiLevelType w:val="hybridMultilevel"/>
    <w:tmpl w:val="8E70E7AA"/>
    <w:lvl w:ilvl="0" w:tplc="3572DA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6C352F"/>
    <w:multiLevelType w:val="hybridMultilevel"/>
    <w:tmpl w:val="5F0013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B5D7FC0"/>
    <w:multiLevelType w:val="hybridMultilevel"/>
    <w:tmpl w:val="951CE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B33681"/>
    <w:multiLevelType w:val="hybridMultilevel"/>
    <w:tmpl w:val="8FAE8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6"/>
  </w:num>
  <w:num w:numId="3">
    <w:abstractNumId w:val="24"/>
  </w:num>
  <w:num w:numId="4">
    <w:abstractNumId w:val="12"/>
  </w:num>
  <w:num w:numId="5">
    <w:abstractNumId w:val="31"/>
  </w:num>
  <w:num w:numId="6">
    <w:abstractNumId w:val="33"/>
  </w:num>
  <w:num w:numId="7">
    <w:abstractNumId w:val="7"/>
  </w:num>
  <w:num w:numId="8">
    <w:abstractNumId w:val="40"/>
  </w:num>
  <w:num w:numId="9">
    <w:abstractNumId w:val="0"/>
  </w:num>
  <w:num w:numId="10">
    <w:abstractNumId w:val="2"/>
  </w:num>
  <w:num w:numId="11">
    <w:abstractNumId w:val="19"/>
  </w:num>
  <w:num w:numId="12">
    <w:abstractNumId w:val="32"/>
  </w:num>
  <w:num w:numId="13">
    <w:abstractNumId w:val="22"/>
  </w:num>
  <w:num w:numId="14">
    <w:abstractNumId w:val="15"/>
  </w:num>
  <w:num w:numId="15">
    <w:abstractNumId w:val="34"/>
  </w:num>
  <w:num w:numId="16">
    <w:abstractNumId w:val="5"/>
  </w:num>
  <w:num w:numId="17">
    <w:abstractNumId w:val="14"/>
  </w:num>
  <w:num w:numId="18">
    <w:abstractNumId w:val="21"/>
  </w:num>
  <w:num w:numId="19">
    <w:abstractNumId w:val="4"/>
  </w:num>
  <w:num w:numId="20">
    <w:abstractNumId w:val="16"/>
  </w:num>
  <w:num w:numId="21">
    <w:abstractNumId w:val="25"/>
  </w:num>
  <w:num w:numId="22">
    <w:abstractNumId w:val="18"/>
  </w:num>
  <w:num w:numId="23">
    <w:abstractNumId w:val="8"/>
  </w:num>
  <w:num w:numId="24">
    <w:abstractNumId w:val="36"/>
  </w:num>
  <w:num w:numId="25">
    <w:abstractNumId w:val="43"/>
  </w:num>
  <w:num w:numId="26">
    <w:abstractNumId w:val="30"/>
  </w:num>
  <w:num w:numId="27">
    <w:abstractNumId w:val="37"/>
  </w:num>
  <w:num w:numId="28">
    <w:abstractNumId w:val="44"/>
  </w:num>
  <w:num w:numId="29">
    <w:abstractNumId w:val="42"/>
  </w:num>
  <w:num w:numId="30">
    <w:abstractNumId w:val="27"/>
  </w:num>
  <w:num w:numId="31">
    <w:abstractNumId w:val="20"/>
  </w:num>
  <w:num w:numId="32">
    <w:abstractNumId w:val="17"/>
  </w:num>
  <w:num w:numId="33">
    <w:abstractNumId w:val="11"/>
  </w:num>
  <w:num w:numId="34">
    <w:abstractNumId w:val="39"/>
  </w:num>
  <w:num w:numId="35">
    <w:abstractNumId w:val="23"/>
  </w:num>
  <w:num w:numId="36">
    <w:abstractNumId w:val="9"/>
  </w:num>
  <w:num w:numId="37">
    <w:abstractNumId w:val="29"/>
  </w:num>
  <w:num w:numId="38">
    <w:abstractNumId w:val="28"/>
  </w:num>
  <w:num w:numId="39">
    <w:abstractNumId w:val="41"/>
  </w:num>
  <w:num w:numId="40">
    <w:abstractNumId w:val="38"/>
  </w:num>
  <w:num w:numId="41">
    <w:abstractNumId w:val="10"/>
  </w:num>
  <w:num w:numId="42">
    <w:abstractNumId w:val="13"/>
  </w:num>
  <w:num w:numId="43">
    <w:abstractNumId w:val="3"/>
  </w:num>
  <w:num w:numId="44">
    <w:abstractNumId w:val="3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0F"/>
    <w:rsid w:val="000007C5"/>
    <w:rsid w:val="00004549"/>
    <w:rsid w:val="00010B3D"/>
    <w:rsid w:val="00015401"/>
    <w:rsid w:val="00015881"/>
    <w:rsid w:val="00020D37"/>
    <w:rsid w:val="0003187E"/>
    <w:rsid w:val="0003257D"/>
    <w:rsid w:val="00043618"/>
    <w:rsid w:val="000450A8"/>
    <w:rsid w:val="00046BEF"/>
    <w:rsid w:val="000475BA"/>
    <w:rsid w:val="000551D1"/>
    <w:rsid w:val="00061625"/>
    <w:rsid w:val="00064686"/>
    <w:rsid w:val="000648BE"/>
    <w:rsid w:val="00090249"/>
    <w:rsid w:val="00091989"/>
    <w:rsid w:val="000A04CF"/>
    <w:rsid w:val="000A1DB2"/>
    <w:rsid w:val="000A59AD"/>
    <w:rsid w:val="000B128D"/>
    <w:rsid w:val="000B5C7A"/>
    <w:rsid w:val="000B79B7"/>
    <w:rsid w:val="000C3C69"/>
    <w:rsid w:val="000E02EF"/>
    <w:rsid w:val="000E4A91"/>
    <w:rsid w:val="000F2580"/>
    <w:rsid w:val="000F2DD6"/>
    <w:rsid w:val="000F4485"/>
    <w:rsid w:val="000F5A89"/>
    <w:rsid w:val="0010073E"/>
    <w:rsid w:val="00104E6A"/>
    <w:rsid w:val="00105924"/>
    <w:rsid w:val="00107607"/>
    <w:rsid w:val="00110135"/>
    <w:rsid w:val="00120C9D"/>
    <w:rsid w:val="00121C59"/>
    <w:rsid w:val="00123A43"/>
    <w:rsid w:val="00124B36"/>
    <w:rsid w:val="00126FB0"/>
    <w:rsid w:val="00141734"/>
    <w:rsid w:val="00150C43"/>
    <w:rsid w:val="00150E16"/>
    <w:rsid w:val="001513DC"/>
    <w:rsid w:val="00154330"/>
    <w:rsid w:val="00156282"/>
    <w:rsid w:val="00156B7C"/>
    <w:rsid w:val="00162462"/>
    <w:rsid w:val="00163041"/>
    <w:rsid w:val="001726F0"/>
    <w:rsid w:val="00172F05"/>
    <w:rsid w:val="00174230"/>
    <w:rsid w:val="001762B1"/>
    <w:rsid w:val="001803E6"/>
    <w:rsid w:val="00182D8A"/>
    <w:rsid w:val="001872D8"/>
    <w:rsid w:val="0019142D"/>
    <w:rsid w:val="00195B1B"/>
    <w:rsid w:val="00195B78"/>
    <w:rsid w:val="00196CA4"/>
    <w:rsid w:val="0019745A"/>
    <w:rsid w:val="001A1516"/>
    <w:rsid w:val="001A3FFE"/>
    <w:rsid w:val="001A57CA"/>
    <w:rsid w:val="001A6F22"/>
    <w:rsid w:val="001B5E53"/>
    <w:rsid w:val="001C355B"/>
    <w:rsid w:val="001C43BC"/>
    <w:rsid w:val="001D3D28"/>
    <w:rsid w:val="001E47BA"/>
    <w:rsid w:val="001F7DBF"/>
    <w:rsid w:val="00210995"/>
    <w:rsid w:val="0021219F"/>
    <w:rsid w:val="00217664"/>
    <w:rsid w:val="00223059"/>
    <w:rsid w:val="0022394E"/>
    <w:rsid w:val="00230CD4"/>
    <w:rsid w:val="00233F6C"/>
    <w:rsid w:val="00237A6A"/>
    <w:rsid w:val="00241432"/>
    <w:rsid w:val="00241B1D"/>
    <w:rsid w:val="00246E5F"/>
    <w:rsid w:val="00251D58"/>
    <w:rsid w:val="002530CA"/>
    <w:rsid w:val="00260BEA"/>
    <w:rsid w:val="00263687"/>
    <w:rsid w:val="00265A7A"/>
    <w:rsid w:val="002720C5"/>
    <w:rsid w:val="00285DFA"/>
    <w:rsid w:val="00287A62"/>
    <w:rsid w:val="00291CA7"/>
    <w:rsid w:val="00293C5B"/>
    <w:rsid w:val="002946D0"/>
    <w:rsid w:val="00296A02"/>
    <w:rsid w:val="002A0162"/>
    <w:rsid w:val="002A086D"/>
    <w:rsid w:val="002A4B28"/>
    <w:rsid w:val="002B3C14"/>
    <w:rsid w:val="002B548A"/>
    <w:rsid w:val="002C1D04"/>
    <w:rsid w:val="002C6783"/>
    <w:rsid w:val="002D4D7C"/>
    <w:rsid w:val="002F1216"/>
    <w:rsid w:val="003148B6"/>
    <w:rsid w:val="00322F8C"/>
    <w:rsid w:val="00323D06"/>
    <w:rsid w:val="00324D7C"/>
    <w:rsid w:val="003377DB"/>
    <w:rsid w:val="00347969"/>
    <w:rsid w:val="003517DA"/>
    <w:rsid w:val="00360C73"/>
    <w:rsid w:val="00361764"/>
    <w:rsid w:val="0036481C"/>
    <w:rsid w:val="00367918"/>
    <w:rsid w:val="00374029"/>
    <w:rsid w:val="003807BE"/>
    <w:rsid w:val="00381219"/>
    <w:rsid w:val="00384BF5"/>
    <w:rsid w:val="00392376"/>
    <w:rsid w:val="00392DE7"/>
    <w:rsid w:val="00395B62"/>
    <w:rsid w:val="003C504D"/>
    <w:rsid w:val="003C6121"/>
    <w:rsid w:val="003C6AC0"/>
    <w:rsid w:val="003C7357"/>
    <w:rsid w:val="003D2804"/>
    <w:rsid w:val="003D3484"/>
    <w:rsid w:val="003E2605"/>
    <w:rsid w:val="003E4378"/>
    <w:rsid w:val="003F30BF"/>
    <w:rsid w:val="00407CE7"/>
    <w:rsid w:val="004105C5"/>
    <w:rsid w:val="00412A0E"/>
    <w:rsid w:val="00421CBE"/>
    <w:rsid w:val="00431E35"/>
    <w:rsid w:val="00437088"/>
    <w:rsid w:val="00443C10"/>
    <w:rsid w:val="00453A50"/>
    <w:rsid w:val="00455592"/>
    <w:rsid w:val="0045572B"/>
    <w:rsid w:val="00455A93"/>
    <w:rsid w:val="0045709A"/>
    <w:rsid w:val="004634A9"/>
    <w:rsid w:val="00470710"/>
    <w:rsid w:val="004713BB"/>
    <w:rsid w:val="0047147E"/>
    <w:rsid w:val="00490515"/>
    <w:rsid w:val="004947D0"/>
    <w:rsid w:val="004B3FA6"/>
    <w:rsid w:val="004C20D4"/>
    <w:rsid w:val="004C233B"/>
    <w:rsid w:val="004D1836"/>
    <w:rsid w:val="004E1F91"/>
    <w:rsid w:val="004F4D87"/>
    <w:rsid w:val="004F6653"/>
    <w:rsid w:val="004F6880"/>
    <w:rsid w:val="00510BE7"/>
    <w:rsid w:val="00527DFB"/>
    <w:rsid w:val="00544227"/>
    <w:rsid w:val="00544E4D"/>
    <w:rsid w:val="00557785"/>
    <w:rsid w:val="00567843"/>
    <w:rsid w:val="00575338"/>
    <w:rsid w:val="00581371"/>
    <w:rsid w:val="00585B1A"/>
    <w:rsid w:val="0058763F"/>
    <w:rsid w:val="00592D0A"/>
    <w:rsid w:val="00593D3B"/>
    <w:rsid w:val="00595D1A"/>
    <w:rsid w:val="00596AB3"/>
    <w:rsid w:val="005A01AF"/>
    <w:rsid w:val="005A0E48"/>
    <w:rsid w:val="005A1B38"/>
    <w:rsid w:val="005A2492"/>
    <w:rsid w:val="005A59B9"/>
    <w:rsid w:val="005C35C4"/>
    <w:rsid w:val="005D7A4C"/>
    <w:rsid w:val="005E5A85"/>
    <w:rsid w:val="005F1D8C"/>
    <w:rsid w:val="005F220F"/>
    <w:rsid w:val="00602987"/>
    <w:rsid w:val="006049F3"/>
    <w:rsid w:val="00610163"/>
    <w:rsid w:val="006129B4"/>
    <w:rsid w:val="0061402C"/>
    <w:rsid w:val="00614842"/>
    <w:rsid w:val="006373B5"/>
    <w:rsid w:val="006410D6"/>
    <w:rsid w:val="00642C3B"/>
    <w:rsid w:val="00643CCF"/>
    <w:rsid w:val="00645617"/>
    <w:rsid w:val="00684293"/>
    <w:rsid w:val="00693140"/>
    <w:rsid w:val="00695118"/>
    <w:rsid w:val="00696B15"/>
    <w:rsid w:val="006A28E7"/>
    <w:rsid w:val="006A4618"/>
    <w:rsid w:val="006A6B4B"/>
    <w:rsid w:val="006B616A"/>
    <w:rsid w:val="006B721D"/>
    <w:rsid w:val="006C00B7"/>
    <w:rsid w:val="006C5647"/>
    <w:rsid w:val="006D1E77"/>
    <w:rsid w:val="006D239F"/>
    <w:rsid w:val="006D7126"/>
    <w:rsid w:val="006E25DB"/>
    <w:rsid w:val="006E342E"/>
    <w:rsid w:val="006E5AB7"/>
    <w:rsid w:val="006E7F75"/>
    <w:rsid w:val="006F1486"/>
    <w:rsid w:val="006F223D"/>
    <w:rsid w:val="00700275"/>
    <w:rsid w:val="007060C5"/>
    <w:rsid w:val="00717505"/>
    <w:rsid w:val="007203FB"/>
    <w:rsid w:val="00724B91"/>
    <w:rsid w:val="00725C58"/>
    <w:rsid w:val="00727888"/>
    <w:rsid w:val="00737662"/>
    <w:rsid w:val="00744E21"/>
    <w:rsid w:val="00745FB2"/>
    <w:rsid w:val="00746CC6"/>
    <w:rsid w:val="00752347"/>
    <w:rsid w:val="00761B7A"/>
    <w:rsid w:val="00777315"/>
    <w:rsid w:val="007845FF"/>
    <w:rsid w:val="00785270"/>
    <w:rsid w:val="00787BAE"/>
    <w:rsid w:val="007A4A36"/>
    <w:rsid w:val="007B06B8"/>
    <w:rsid w:val="007B06F3"/>
    <w:rsid w:val="007B1FA4"/>
    <w:rsid w:val="007B4C52"/>
    <w:rsid w:val="007B666A"/>
    <w:rsid w:val="007C0C7B"/>
    <w:rsid w:val="007C51CB"/>
    <w:rsid w:val="007C66CB"/>
    <w:rsid w:val="007D1536"/>
    <w:rsid w:val="007E4AAD"/>
    <w:rsid w:val="007E546B"/>
    <w:rsid w:val="007F3C94"/>
    <w:rsid w:val="00805D97"/>
    <w:rsid w:val="00807C09"/>
    <w:rsid w:val="00812EF0"/>
    <w:rsid w:val="008133FF"/>
    <w:rsid w:val="00817287"/>
    <w:rsid w:val="00824F88"/>
    <w:rsid w:val="00843AF6"/>
    <w:rsid w:val="00844E97"/>
    <w:rsid w:val="00845877"/>
    <w:rsid w:val="00846E4E"/>
    <w:rsid w:val="00851CDC"/>
    <w:rsid w:val="00853DA3"/>
    <w:rsid w:val="008572A0"/>
    <w:rsid w:val="00861425"/>
    <w:rsid w:val="00870649"/>
    <w:rsid w:val="00872155"/>
    <w:rsid w:val="0088057C"/>
    <w:rsid w:val="0088360E"/>
    <w:rsid w:val="00885175"/>
    <w:rsid w:val="00890A65"/>
    <w:rsid w:val="008A4E97"/>
    <w:rsid w:val="008B085E"/>
    <w:rsid w:val="008B3290"/>
    <w:rsid w:val="008D1F16"/>
    <w:rsid w:val="008E304C"/>
    <w:rsid w:val="008E5914"/>
    <w:rsid w:val="008F674A"/>
    <w:rsid w:val="009013C8"/>
    <w:rsid w:val="009018C7"/>
    <w:rsid w:val="00903349"/>
    <w:rsid w:val="00903C58"/>
    <w:rsid w:val="00912F13"/>
    <w:rsid w:val="009131BD"/>
    <w:rsid w:val="009252F2"/>
    <w:rsid w:val="00931FE1"/>
    <w:rsid w:val="00953C3C"/>
    <w:rsid w:val="00964900"/>
    <w:rsid w:val="00976CAE"/>
    <w:rsid w:val="00987B13"/>
    <w:rsid w:val="00992793"/>
    <w:rsid w:val="009975CC"/>
    <w:rsid w:val="009B02A7"/>
    <w:rsid w:val="009B563F"/>
    <w:rsid w:val="009C0C54"/>
    <w:rsid w:val="009C263E"/>
    <w:rsid w:val="009C330F"/>
    <w:rsid w:val="009C37DD"/>
    <w:rsid w:val="009D0D9D"/>
    <w:rsid w:val="009D4C7D"/>
    <w:rsid w:val="009D5AE8"/>
    <w:rsid w:val="009D7C92"/>
    <w:rsid w:val="009E267F"/>
    <w:rsid w:val="009E6CA0"/>
    <w:rsid w:val="009F05EF"/>
    <w:rsid w:val="009F42D9"/>
    <w:rsid w:val="00A14F18"/>
    <w:rsid w:val="00A26D50"/>
    <w:rsid w:val="00A44509"/>
    <w:rsid w:val="00A44DD0"/>
    <w:rsid w:val="00A45E04"/>
    <w:rsid w:val="00A4635E"/>
    <w:rsid w:val="00A46EB0"/>
    <w:rsid w:val="00A67F4C"/>
    <w:rsid w:val="00A83577"/>
    <w:rsid w:val="00A83C42"/>
    <w:rsid w:val="00A83DAC"/>
    <w:rsid w:val="00A9258E"/>
    <w:rsid w:val="00A92E69"/>
    <w:rsid w:val="00AA63E9"/>
    <w:rsid w:val="00AA7F81"/>
    <w:rsid w:val="00AB14A9"/>
    <w:rsid w:val="00AD4850"/>
    <w:rsid w:val="00AD5F36"/>
    <w:rsid w:val="00AE4F3C"/>
    <w:rsid w:val="00B049AD"/>
    <w:rsid w:val="00B05BA7"/>
    <w:rsid w:val="00B06481"/>
    <w:rsid w:val="00B06C70"/>
    <w:rsid w:val="00B0738E"/>
    <w:rsid w:val="00B1371A"/>
    <w:rsid w:val="00B15FF0"/>
    <w:rsid w:val="00B201D2"/>
    <w:rsid w:val="00B206DC"/>
    <w:rsid w:val="00B20B5F"/>
    <w:rsid w:val="00B24FE5"/>
    <w:rsid w:val="00B3142D"/>
    <w:rsid w:val="00B36054"/>
    <w:rsid w:val="00B44154"/>
    <w:rsid w:val="00B44B48"/>
    <w:rsid w:val="00B458AC"/>
    <w:rsid w:val="00B52060"/>
    <w:rsid w:val="00B522D3"/>
    <w:rsid w:val="00B528B3"/>
    <w:rsid w:val="00B56C67"/>
    <w:rsid w:val="00B615B0"/>
    <w:rsid w:val="00B61700"/>
    <w:rsid w:val="00B74DA1"/>
    <w:rsid w:val="00B80B8F"/>
    <w:rsid w:val="00B80D6E"/>
    <w:rsid w:val="00B81CAA"/>
    <w:rsid w:val="00B91C0C"/>
    <w:rsid w:val="00B9283B"/>
    <w:rsid w:val="00B9450E"/>
    <w:rsid w:val="00B97799"/>
    <w:rsid w:val="00BB2A0C"/>
    <w:rsid w:val="00BB6FBD"/>
    <w:rsid w:val="00BB7678"/>
    <w:rsid w:val="00BC0E74"/>
    <w:rsid w:val="00BD6518"/>
    <w:rsid w:val="00BE41FF"/>
    <w:rsid w:val="00BE6091"/>
    <w:rsid w:val="00BE645F"/>
    <w:rsid w:val="00BE7B4C"/>
    <w:rsid w:val="00BF3992"/>
    <w:rsid w:val="00BF456C"/>
    <w:rsid w:val="00BF7D1D"/>
    <w:rsid w:val="00C0256B"/>
    <w:rsid w:val="00C02D44"/>
    <w:rsid w:val="00C07B65"/>
    <w:rsid w:val="00C12B70"/>
    <w:rsid w:val="00C14FE6"/>
    <w:rsid w:val="00C27DC3"/>
    <w:rsid w:val="00C32656"/>
    <w:rsid w:val="00C36EE5"/>
    <w:rsid w:val="00C4599E"/>
    <w:rsid w:val="00C66DAF"/>
    <w:rsid w:val="00C77733"/>
    <w:rsid w:val="00C81075"/>
    <w:rsid w:val="00C954DC"/>
    <w:rsid w:val="00CA4D18"/>
    <w:rsid w:val="00CB4005"/>
    <w:rsid w:val="00CD76D0"/>
    <w:rsid w:val="00CE48A3"/>
    <w:rsid w:val="00CF1526"/>
    <w:rsid w:val="00D062FF"/>
    <w:rsid w:val="00D11FE6"/>
    <w:rsid w:val="00D123E0"/>
    <w:rsid w:val="00D14D9E"/>
    <w:rsid w:val="00D14F35"/>
    <w:rsid w:val="00D15278"/>
    <w:rsid w:val="00D217E9"/>
    <w:rsid w:val="00D24B28"/>
    <w:rsid w:val="00D3297E"/>
    <w:rsid w:val="00D35311"/>
    <w:rsid w:val="00D4683C"/>
    <w:rsid w:val="00D4699B"/>
    <w:rsid w:val="00D544E0"/>
    <w:rsid w:val="00D565C5"/>
    <w:rsid w:val="00D576BC"/>
    <w:rsid w:val="00D664EF"/>
    <w:rsid w:val="00D7123C"/>
    <w:rsid w:val="00D71A81"/>
    <w:rsid w:val="00D81744"/>
    <w:rsid w:val="00D83BEE"/>
    <w:rsid w:val="00D84F25"/>
    <w:rsid w:val="00D86204"/>
    <w:rsid w:val="00D90E67"/>
    <w:rsid w:val="00D9246C"/>
    <w:rsid w:val="00D93DDD"/>
    <w:rsid w:val="00D94DA5"/>
    <w:rsid w:val="00DA3F56"/>
    <w:rsid w:val="00DA5F29"/>
    <w:rsid w:val="00DB068A"/>
    <w:rsid w:val="00DB675B"/>
    <w:rsid w:val="00DB723B"/>
    <w:rsid w:val="00DC4C6A"/>
    <w:rsid w:val="00DD1F06"/>
    <w:rsid w:val="00DD6D55"/>
    <w:rsid w:val="00DE2D84"/>
    <w:rsid w:val="00DF02D6"/>
    <w:rsid w:val="00DF0398"/>
    <w:rsid w:val="00DF0628"/>
    <w:rsid w:val="00DF389A"/>
    <w:rsid w:val="00E01062"/>
    <w:rsid w:val="00E048A7"/>
    <w:rsid w:val="00E04D9E"/>
    <w:rsid w:val="00E059BF"/>
    <w:rsid w:val="00E112F7"/>
    <w:rsid w:val="00E15FDE"/>
    <w:rsid w:val="00E168D0"/>
    <w:rsid w:val="00E34E72"/>
    <w:rsid w:val="00E35956"/>
    <w:rsid w:val="00E37A4F"/>
    <w:rsid w:val="00E430F6"/>
    <w:rsid w:val="00E44EC3"/>
    <w:rsid w:val="00E54E5B"/>
    <w:rsid w:val="00E55251"/>
    <w:rsid w:val="00E55C26"/>
    <w:rsid w:val="00E6496B"/>
    <w:rsid w:val="00E740F8"/>
    <w:rsid w:val="00E93AAB"/>
    <w:rsid w:val="00E953FE"/>
    <w:rsid w:val="00E974B2"/>
    <w:rsid w:val="00EA0EE6"/>
    <w:rsid w:val="00EA1FC2"/>
    <w:rsid w:val="00EC0736"/>
    <w:rsid w:val="00EE7068"/>
    <w:rsid w:val="00EF11B4"/>
    <w:rsid w:val="00EF5560"/>
    <w:rsid w:val="00EF5D22"/>
    <w:rsid w:val="00F00B0C"/>
    <w:rsid w:val="00F01D7B"/>
    <w:rsid w:val="00F02846"/>
    <w:rsid w:val="00F06E5C"/>
    <w:rsid w:val="00F11E7B"/>
    <w:rsid w:val="00F23E9F"/>
    <w:rsid w:val="00F258A4"/>
    <w:rsid w:val="00F262DA"/>
    <w:rsid w:val="00F301E8"/>
    <w:rsid w:val="00F3105F"/>
    <w:rsid w:val="00F32B31"/>
    <w:rsid w:val="00F34836"/>
    <w:rsid w:val="00F3757F"/>
    <w:rsid w:val="00F41738"/>
    <w:rsid w:val="00F47C7C"/>
    <w:rsid w:val="00F521CB"/>
    <w:rsid w:val="00F57426"/>
    <w:rsid w:val="00F625B4"/>
    <w:rsid w:val="00F7286F"/>
    <w:rsid w:val="00F75E14"/>
    <w:rsid w:val="00F76595"/>
    <w:rsid w:val="00F85724"/>
    <w:rsid w:val="00F9261D"/>
    <w:rsid w:val="00FA298F"/>
    <w:rsid w:val="00FB2F7E"/>
    <w:rsid w:val="00FB31A9"/>
    <w:rsid w:val="00FE6269"/>
    <w:rsid w:val="00FF305E"/>
    <w:rsid w:val="00FF5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23C"/>
  <w15:docId w15:val="{EEC01EA6-D029-45D5-923E-BC8BDC7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0F"/>
    <w:pPr>
      <w:ind w:left="720"/>
      <w:contextualSpacing/>
    </w:pPr>
  </w:style>
  <w:style w:type="table" w:styleId="TableGrid">
    <w:name w:val="Table Grid"/>
    <w:basedOn w:val="TableNormal"/>
    <w:rsid w:val="0086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861425"/>
  </w:style>
  <w:style w:type="paragraph" w:styleId="BalloonText">
    <w:name w:val="Balloon Text"/>
    <w:basedOn w:val="Normal"/>
    <w:link w:val="BalloonTextChar"/>
    <w:uiPriority w:val="99"/>
    <w:semiHidden/>
    <w:unhideWhenUsed/>
    <w:rsid w:val="006F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86"/>
    <w:rPr>
      <w:rFonts w:ascii="Tahoma" w:hAnsi="Tahoma" w:cs="Tahoma"/>
      <w:sz w:val="16"/>
      <w:szCs w:val="16"/>
    </w:rPr>
  </w:style>
  <w:style w:type="character" w:styleId="CommentReference">
    <w:name w:val="annotation reference"/>
    <w:basedOn w:val="DefaultParagraphFont"/>
    <w:uiPriority w:val="99"/>
    <w:semiHidden/>
    <w:unhideWhenUsed/>
    <w:rsid w:val="00FF305E"/>
    <w:rPr>
      <w:sz w:val="16"/>
      <w:szCs w:val="16"/>
    </w:rPr>
  </w:style>
  <w:style w:type="paragraph" w:styleId="CommentText">
    <w:name w:val="annotation text"/>
    <w:basedOn w:val="Normal"/>
    <w:link w:val="CommentTextChar"/>
    <w:uiPriority w:val="99"/>
    <w:unhideWhenUsed/>
    <w:rsid w:val="00FF305E"/>
    <w:pPr>
      <w:spacing w:line="240" w:lineRule="auto"/>
    </w:pPr>
    <w:rPr>
      <w:sz w:val="20"/>
      <w:szCs w:val="20"/>
    </w:rPr>
  </w:style>
  <w:style w:type="character" w:customStyle="1" w:styleId="CommentTextChar">
    <w:name w:val="Comment Text Char"/>
    <w:basedOn w:val="DefaultParagraphFont"/>
    <w:link w:val="CommentText"/>
    <w:uiPriority w:val="99"/>
    <w:rsid w:val="00FF305E"/>
    <w:rPr>
      <w:sz w:val="20"/>
      <w:szCs w:val="20"/>
    </w:rPr>
  </w:style>
  <w:style w:type="paragraph" w:styleId="CommentSubject">
    <w:name w:val="annotation subject"/>
    <w:basedOn w:val="CommentText"/>
    <w:next w:val="CommentText"/>
    <w:link w:val="CommentSubjectChar"/>
    <w:uiPriority w:val="99"/>
    <w:semiHidden/>
    <w:unhideWhenUsed/>
    <w:rsid w:val="00FF305E"/>
    <w:rPr>
      <w:b/>
      <w:bCs/>
    </w:rPr>
  </w:style>
  <w:style w:type="character" w:customStyle="1" w:styleId="CommentSubjectChar">
    <w:name w:val="Comment Subject Char"/>
    <w:basedOn w:val="CommentTextChar"/>
    <w:link w:val="CommentSubject"/>
    <w:uiPriority w:val="99"/>
    <w:semiHidden/>
    <w:rsid w:val="00FF305E"/>
    <w:rPr>
      <w:b/>
      <w:bCs/>
      <w:sz w:val="20"/>
      <w:szCs w:val="20"/>
    </w:rPr>
  </w:style>
  <w:style w:type="paragraph" w:styleId="Header">
    <w:name w:val="header"/>
    <w:basedOn w:val="Normal"/>
    <w:link w:val="HeaderChar"/>
    <w:uiPriority w:val="99"/>
    <w:unhideWhenUsed/>
    <w:rsid w:val="00C954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54DC"/>
  </w:style>
  <w:style w:type="paragraph" w:styleId="Footer">
    <w:name w:val="footer"/>
    <w:basedOn w:val="Normal"/>
    <w:link w:val="FooterChar"/>
    <w:uiPriority w:val="99"/>
    <w:unhideWhenUsed/>
    <w:rsid w:val="00C95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4DC"/>
  </w:style>
  <w:style w:type="character" w:customStyle="1" w:styleId="field-content">
    <w:name w:val="field-content"/>
    <w:basedOn w:val="DefaultParagraphFont"/>
    <w:rsid w:val="00F258A4"/>
  </w:style>
  <w:style w:type="character" w:styleId="Hyperlink">
    <w:name w:val="Hyperlink"/>
    <w:basedOn w:val="DefaultParagraphFont"/>
    <w:uiPriority w:val="99"/>
    <w:unhideWhenUsed/>
    <w:rsid w:val="000B79B7"/>
    <w:rPr>
      <w:color w:val="0000FF" w:themeColor="hyperlink"/>
      <w:u w:val="single"/>
    </w:rPr>
  </w:style>
  <w:style w:type="paragraph" w:styleId="FootnoteText">
    <w:name w:val="footnote text"/>
    <w:basedOn w:val="Normal"/>
    <w:link w:val="FootnoteTextChar"/>
    <w:uiPriority w:val="99"/>
    <w:semiHidden/>
    <w:unhideWhenUsed/>
    <w:rsid w:val="00263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687"/>
    <w:rPr>
      <w:sz w:val="20"/>
      <w:szCs w:val="20"/>
    </w:rPr>
  </w:style>
  <w:style w:type="character" w:styleId="FootnoteReference">
    <w:name w:val="footnote reference"/>
    <w:basedOn w:val="DefaultParagraphFont"/>
    <w:uiPriority w:val="99"/>
    <w:semiHidden/>
    <w:unhideWhenUsed/>
    <w:rsid w:val="00263687"/>
    <w:rPr>
      <w:vertAlign w:val="superscript"/>
    </w:rPr>
  </w:style>
  <w:style w:type="character" w:styleId="FollowedHyperlink">
    <w:name w:val="FollowedHyperlink"/>
    <w:basedOn w:val="DefaultParagraphFont"/>
    <w:uiPriority w:val="99"/>
    <w:semiHidden/>
    <w:unhideWhenUsed/>
    <w:rsid w:val="00B06481"/>
    <w:rPr>
      <w:color w:val="800080" w:themeColor="followedHyperlink"/>
      <w:u w:val="single"/>
    </w:rPr>
  </w:style>
  <w:style w:type="paragraph" w:styleId="Revision">
    <w:name w:val="Revision"/>
    <w:hidden/>
    <w:uiPriority w:val="99"/>
    <w:semiHidden/>
    <w:rsid w:val="00F06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2126">
      <w:bodyDiv w:val="1"/>
      <w:marLeft w:val="0"/>
      <w:marRight w:val="0"/>
      <w:marTop w:val="0"/>
      <w:marBottom w:val="0"/>
      <w:divBdr>
        <w:top w:val="none" w:sz="0" w:space="0" w:color="auto"/>
        <w:left w:val="none" w:sz="0" w:space="0" w:color="auto"/>
        <w:bottom w:val="none" w:sz="0" w:space="0" w:color="auto"/>
        <w:right w:val="none" w:sz="0" w:space="0" w:color="auto"/>
      </w:divBdr>
    </w:div>
    <w:div w:id="75444932">
      <w:bodyDiv w:val="1"/>
      <w:marLeft w:val="0"/>
      <w:marRight w:val="0"/>
      <w:marTop w:val="0"/>
      <w:marBottom w:val="0"/>
      <w:divBdr>
        <w:top w:val="none" w:sz="0" w:space="0" w:color="auto"/>
        <w:left w:val="none" w:sz="0" w:space="0" w:color="auto"/>
        <w:bottom w:val="none" w:sz="0" w:space="0" w:color="auto"/>
        <w:right w:val="none" w:sz="0" w:space="0" w:color="auto"/>
      </w:divBdr>
    </w:div>
    <w:div w:id="186647468">
      <w:bodyDiv w:val="1"/>
      <w:marLeft w:val="0"/>
      <w:marRight w:val="0"/>
      <w:marTop w:val="0"/>
      <w:marBottom w:val="0"/>
      <w:divBdr>
        <w:top w:val="none" w:sz="0" w:space="0" w:color="auto"/>
        <w:left w:val="none" w:sz="0" w:space="0" w:color="auto"/>
        <w:bottom w:val="none" w:sz="0" w:space="0" w:color="auto"/>
        <w:right w:val="none" w:sz="0" w:space="0" w:color="auto"/>
      </w:divBdr>
    </w:div>
    <w:div w:id="218370293">
      <w:bodyDiv w:val="1"/>
      <w:marLeft w:val="0"/>
      <w:marRight w:val="0"/>
      <w:marTop w:val="0"/>
      <w:marBottom w:val="0"/>
      <w:divBdr>
        <w:top w:val="none" w:sz="0" w:space="0" w:color="auto"/>
        <w:left w:val="none" w:sz="0" w:space="0" w:color="auto"/>
        <w:bottom w:val="none" w:sz="0" w:space="0" w:color="auto"/>
        <w:right w:val="none" w:sz="0" w:space="0" w:color="auto"/>
      </w:divBdr>
    </w:div>
    <w:div w:id="325327748">
      <w:bodyDiv w:val="1"/>
      <w:marLeft w:val="0"/>
      <w:marRight w:val="0"/>
      <w:marTop w:val="0"/>
      <w:marBottom w:val="0"/>
      <w:divBdr>
        <w:top w:val="none" w:sz="0" w:space="0" w:color="auto"/>
        <w:left w:val="none" w:sz="0" w:space="0" w:color="auto"/>
        <w:bottom w:val="none" w:sz="0" w:space="0" w:color="auto"/>
        <w:right w:val="none" w:sz="0" w:space="0" w:color="auto"/>
      </w:divBdr>
    </w:div>
    <w:div w:id="338654857">
      <w:bodyDiv w:val="1"/>
      <w:marLeft w:val="0"/>
      <w:marRight w:val="0"/>
      <w:marTop w:val="0"/>
      <w:marBottom w:val="0"/>
      <w:divBdr>
        <w:top w:val="none" w:sz="0" w:space="0" w:color="auto"/>
        <w:left w:val="none" w:sz="0" w:space="0" w:color="auto"/>
        <w:bottom w:val="none" w:sz="0" w:space="0" w:color="auto"/>
        <w:right w:val="none" w:sz="0" w:space="0" w:color="auto"/>
      </w:divBdr>
    </w:div>
    <w:div w:id="526454280">
      <w:bodyDiv w:val="1"/>
      <w:marLeft w:val="0"/>
      <w:marRight w:val="0"/>
      <w:marTop w:val="0"/>
      <w:marBottom w:val="0"/>
      <w:divBdr>
        <w:top w:val="none" w:sz="0" w:space="0" w:color="auto"/>
        <w:left w:val="none" w:sz="0" w:space="0" w:color="auto"/>
        <w:bottom w:val="none" w:sz="0" w:space="0" w:color="auto"/>
        <w:right w:val="none" w:sz="0" w:space="0" w:color="auto"/>
      </w:divBdr>
    </w:div>
    <w:div w:id="605618197">
      <w:bodyDiv w:val="1"/>
      <w:marLeft w:val="0"/>
      <w:marRight w:val="0"/>
      <w:marTop w:val="0"/>
      <w:marBottom w:val="0"/>
      <w:divBdr>
        <w:top w:val="none" w:sz="0" w:space="0" w:color="auto"/>
        <w:left w:val="none" w:sz="0" w:space="0" w:color="auto"/>
        <w:bottom w:val="none" w:sz="0" w:space="0" w:color="auto"/>
        <w:right w:val="none" w:sz="0" w:space="0" w:color="auto"/>
      </w:divBdr>
    </w:div>
    <w:div w:id="606741119">
      <w:bodyDiv w:val="1"/>
      <w:marLeft w:val="0"/>
      <w:marRight w:val="0"/>
      <w:marTop w:val="0"/>
      <w:marBottom w:val="0"/>
      <w:divBdr>
        <w:top w:val="none" w:sz="0" w:space="0" w:color="auto"/>
        <w:left w:val="none" w:sz="0" w:space="0" w:color="auto"/>
        <w:bottom w:val="none" w:sz="0" w:space="0" w:color="auto"/>
        <w:right w:val="none" w:sz="0" w:space="0" w:color="auto"/>
      </w:divBdr>
    </w:div>
    <w:div w:id="630869642">
      <w:bodyDiv w:val="1"/>
      <w:marLeft w:val="0"/>
      <w:marRight w:val="0"/>
      <w:marTop w:val="0"/>
      <w:marBottom w:val="0"/>
      <w:divBdr>
        <w:top w:val="none" w:sz="0" w:space="0" w:color="auto"/>
        <w:left w:val="none" w:sz="0" w:space="0" w:color="auto"/>
        <w:bottom w:val="none" w:sz="0" w:space="0" w:color="auto"/>
        <w:right w:val="none" w:sz="0" w:space="0" w:color="auto"/>
      </w:divBdr>
    </w:div>
    <w:div w:id="689718515">
      <w:bodyDiv w:val="1"/>
      <w:marLeft w:val="0"/>
      <w:marRight w:val="0"/>
      <w:marTop w:val="0"/>
      <w:marBottom w:val="0"/>
      <w:divBdr>
        <w:top w:val="none" w:sz="0" w:space="0" w:color="auto"/>
        <w:left w:val="none" w:sz="0" w:space="0" w:color="auto"/>
        <w:bottom w:val="none" w:sz="0" w:space="0" w:color="auto"/>
        <w:right w:val="none" w:sz="0" w:space="0" w:color="auto"/>
      </w:divBdr>
    </w:div>
    <w:div w:id="771127641">
      <w:bodyDiv w:val="1"/>
      <w:marLeft w:val="0"/>
      <w:marRight w:val="0"/>
      <w:marTop w:val="0"/>
      <w:marBottom w:val="0"/>
      <w:divBdr>
        <w:top w:val="none" w:sz="0" w:space="0" w:color="auto"/>
        <w:left w:val="none" w:sz="0" w:space="0" w:color="auto"/>
        <w:bottom w:val="none" w:sz="0" w:space="0" w:color="auto"/>
        <w:right w:val="none" w:sz="0" w:space="0" w:color="auto"/>
      </w:divBdr>
    </w:div>
    <w:div w:id="930547446">
      <w:bodyDiv w:val="1"/>
      <w:marLeft w:val="0"/>
      <w:marRight w:val="0"/>
      <w:marTop w:val="0"/>
      <w:marBottom w:val="0"/>
      <w:divBdr>
        <w:top w:val="none" w:sz="0" w:space="0" w:color="auto"/>
        <w:left w:val="none" w:sz="0" w:space="0" w:color="auto"/>
        <w:bottom w:val="none" w:sz="0" w:space="0" w:color="auto"/>
        <w:right w:val="none" w:sz="0" w:space="0" w:color="auto"/>
      </w:divBdr>
    </w:div>
    <w:div w:id="1077485406">
      <w:bodyDiv w:val="1"/>
      <w:marLeft w:val="0"/>
      <w:marRight w:val="0"/>
      <w:marTop w:val="0"/>
      <w:marBottom w:val="0"/>
      <w:divBdr>
        <w:top w:val="none" w:sz="0" w:space="0" w:color="auto"/>
        <w:left w:val="none" w:sz="0" w:space="0" w:color="auto"/>
        <w:bottom w:val="none" w:sz="0" w:space="0" w:color="auto"/>
        <w:right w:val="none" w:sz="0" w:space="0" w:color="auto"/>
      </w:divBdr>
    </w:div>
    <w:div w:id="1154566324">
      <w:bodyDiv w:val="1"/>
      <w:marLeft w:val="0"/>
      <w:marRight w:val="0"/>
      <w:marTop w:val="0"/>
      <w:marBottom w:val="0"/>
      <w:divBdr>
        <w:top w:val="none" w:sz="0" w:space="0" w:color="auto"/>
        <w:left w:val="none" w:sz="0" w:space="0" w:color="auto"/>
        <w:bottom w:val="none" w:sz="0" w:space="0" w:color="auto"/>
        <w:right w:val="none" w:sz="0" w:space="0" w:color="auto"/>
      </w:divBdr>
    </w:div>
    <w:div w:id="1173374187">
      <w:bodyDiv w:val="1"/>
      <w:marLeft w:val="0"/>
      <w:marRight w:val="0"/>
      <w:marTop w:val="0"/>
      <w:marBottom w:val="0"/>
      <w:divBdr>
        <w:top w:val="none" w:sz="0" w:space="0" w:color="auto"/>
        <w:left w:val="none" w:sz="0" w:space="0" w:color="auto"/>
        <w:bottom w:val="none" w:sz="0" w:space="0" w:color="auto"/>
        <w:right w:val="none" w:sz="0" w:space="0" w:color="auto"/>
      </w:divBdr>
    </w:div>
    <w:div w:id="1252736504">
      <w:bodyDiv w:val="1"/>
      <w:marLeft w:val="0"/>
      <w:marRight w:val="0"/>
      <w:marTop w:val="0"/>
      <w:marBottom w:val="0"/>
      <w:divBdr>
        <w:top w:val="none" w:sz="0" w:space="0" w:color="auto"/>
        <w:left w:val="none" w:sz="0" w:space="0" w:color="auto"/>
        <w:bottom w:val="none" w:sz="0" w:space="0" w:color="auto"/>
        <w:right w:val="none" w:sz="0" w:space="0" w:color="auto"/>
      </w:divBdr>
    </w:div>
    <w:div w:id="1301957084">
      <w:bodyDiv w:val="1"/>
      <w:marLeft w:val="0"/>
      <w:marRight w:val="0"/>
      <w:marTop w:val="0"/>
      <w:marBottom w:val="0"/>
      <w:divBdr>
        <w:top w:val="none" w:sz="0" w:space="0" w:color="auto"/>
        <w:left w:val="none" w:sz="0" w:space="0" w:color="auto"/>
        <w:bottom w:val="none" w:sz="0" w:space="0" w:color="auto"/>
        <w:right w:val="none" w:sz="0" w:space="0" w:color="auto"/>
      </w:divBdr>
      <w:divsChild>
        <w:div w:id="1491873625">
          <w:marLeft w:val="0"/>
          <w:marRight w:val="0"/>
          <w:marTop w:val="0"/>
          <w:marBottom w:val="0"/>
          <w:divBdr>
            <w:top w:val="none" w:sz="0" w:space="0" w:color="auto"/>
            <w:left w:val="none" w:sz="0" w:space="0" w:color="auto"/>
            <w:bottom w:val="none" w:sz="0" w:space="0" w:color="auto"/>
            <w:right w:val="none" w:sz="0" w:space="0" w:color="auto"/>
          </w:divBdr>
        </w:div>
        <w:div w:id="1889489422">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73654999">
          <w:marLeft w:val="0"/>
          <w:marRight w:val="0"/>
          <w:marTop w:val="0"/>
          <w:marBottom w:val="0"/>
          <w:divBdr>
            <w:top w:val="none" w:sz="0" w:space="0" w:color="auto"/>
            <w:left w:val="none" w:sz="0" w:space="0" w:color="auto"/>
            <w:bottom w:val="none" w:sz="0" w:space="0" w:color="auto"/>
            <w:right w:val="none" w:sz="0" w:space="0" w:color="auto"/>
          </w:divBdr>
        </w:div>
        <w:div w:id="1518036647">
          <w:marLeft w:val="0"/>
          <w:marRight w:val="0"/>
          <w:marTop w:val="0"/>
          <w:marBottom w:val="0"/>
          <w:divBdr>
            <w:top w:val="none" w:sz="0" w:space="0" w:color="auto"/>
            <w:left w:val="none" w:sz="0" w:space="0" w:color="auto"/>
            <w:bottom w:val="none" w:sz="0" w:space="0" w:color="auto"/>
            <w:right w:val="none" w:sz="0" w:space="0" w:color="auto"/>
          </w:divBdr>
        </w:div>
      </w:divsChild>
    </w:div>
    <w:div w:id="1308438545">
      <w:bodyDiv w:val="1"/>
      <w:marLeft w:val="0"/>
      <w:marRight w:val="0"/>
      <w:marTop w:val="0"/>
      <w:marBottom w:val="0"/>
      <w:divBdr>
        <w:top w:val="none" w:sz="0" w:space="0" w:color="auto"/>
        <w:left w:val="none" w:sz="0" w:space="0" w:color="auto"/>
        <w:bottom w:val="none" w:sz="0" w:space="0" w:color="auto"/>
        <w:right w:val="none" w:sz="0" w:space="0" w:color="auto"/>
      </w:divBdr>
    </w:div>
    <w:div w:id="1419672106">
      <w:bodyDiv w:val="1"/>
      <w:marLeft w:val="0"/>
      <w:marRight w:val="0"/>
      <w:marTop w:val="0"/>
      <w:marBottom w:val="0"/>
      <w:divBdr>
        <w:top w:val="none" w:sz="0" w:space="0" w:color="auto"/>
        <w:left w:val="none" w:sz="0" w:space="0" w:color="auto"/>
        <w:bottom w:val="none" w:sz="0" w:space="0" w:color="auto"/>
        <w:right w:val="none" w:sz="0" w:space="0" w:color="auto"/>
      </w:divBdr>
    </w:div>
    <w:div w:id="1495493474">
      <w:bodyDiv w:val="1"/>
      <w:marLeft w:val="0"/>
      <w:marRight w:val="0"/>
      <w:marTop w:val="0"/>
      <w:marBottom w:val="0"/>
      <w:divBdr>
        <w:top w:val="none" w:sz="0" w:space="0" w:color="auto"/>
        <w:left w:val="none" w:sz="0" w:space="0" w:color="auto"/>
        <w:bottom w:val="none" w:sz="0" w:space="0" w:color="auto"/>
        <w:right w:val="none" w:sz="0" w:space="0" w:color="auto"/>
      </w:divBdr>
    </w:div>
    <w:div w:id="1511874100">
      <w:bodyDiv w:val="1"/>
      <w:marLeft w:val="0"/>
      <w:marRight w:val="0"/>
      <w:marTop w:val="0"/>
      <w:marBottom w:val="0"/>
      <w:divBdr>
        <w:top w:val="none" w:sz="0" w:space="0" w:color="auto"/>
        <w:left w:val="none" w:sz="0" w:space="0" w:color="auto"/>
        <w:bottom w:val="none" w:sz="0" w:space="0" w:color="auto"/>
        <w:right w:val="none" w:sz="0" w:space="0" w:color="auto"/>
      </w:divBdr>
    </w:div>
    <w:div w:id="1624573191">
      <w:bodyDiv w:val="1"/>
      <w:marLeft w:val="0"/>
      <w:marRight w:val="0"/>
      <w:marTop w:val="0"/>
      <w:marBottom w:val="0"/>
      <w:divBdr>
        <w:top w:val="none" w:sz="0" w:space="0" w:color="auto"/>
        <w:left w:val="none" w:sz="0" w:space="0" w:color="auto"/>
        <w:bottom w:val="none" w:sz="0" w:space="0" w:color="auto"/>
        <w:right w:val="none" w:sz="0" w:space="0" w:color="auto"/>
      </w:divBdr>
    </w:div>
    <w:div w:id="1626353138">
      <w:bodyDiv w:val="1"/>
      <w:marLeft w:val="0"/>
      <w:marRight w:val="0"/>
      <w:marTop w:val="0"/>
      <w:marBottom w:val="0"/>
      <w:divBdr>
        <w:top w:val="none" w:sz="0" w:space="0" w:color="auto"/>
        <w:left w:val="none" w:sz="0" w:space="0" w:color="auto"/>
        <w:bottom w:val="none" w:sz="0" w:space="0" w:color="auto"/>
        <w:right w:val="none" w:sz="0" w:space="0" w:color="auto"/>
      </w:divBdr>
    </w:div>
    <w:div w:id="1702896170">
      <w:bodyDiv w:val="1"/>
      <w:marLeft w:val="0"/>
      <w:marRight w:val="0"/>
      <w:marTop w:val="0"/>
      <w:marBottom w:val="0"/>
      <w:divBdr>
        <w:top w:val="none" w:sz="0" w:space="0" w:color="auto"/>
        <w:left w:val="none" w:sz="0" w:space="0" w:color="auto"/>
        <w:bottom w:val="none" w:sz="0" w:space="0" w:color="auto"/>
        <w:right w:val="none" w:sz="0" w:space="0" w:color="auto"/>
      </w:divBdr>
    </w:div>
    <w:div w:id="1756048699">
      <w:bodyDiv w:val="1"/>
      <w:marLeft w:val="0"/>
      <w:marRight w:val="0"/>
      <w:marTop w:val="0"/>
      <w:marBottom w:val="0"/>
      <w:divBdr>
        <w:top w:val="none" w:sz="0" w:space="0" w:color="auto"/>
        <w:left w:val="none" w:sz="0" w:space="0" w:color="auto"/>
        <w:bottom w:val="none" w:sz="0" w:space="0" w:color="auto"/>
        <w:right w:val="none" w:sz="0" w:space="0" w:color="auto"/>
      </w:divBdr>
    </w:div>
    <w:div w:id="1790053880">
      <w:bodyDiv w:val="1"/>
      <w:marLeft w:val="0"/>
      <w:marRight w:val="0"/>
      <w:marTop w:val="0"/>
      <w:marBottom w:val="0"/>
      <w:divBdr>
        <w:top w:val="none" w:sz="0" w:space="0" w:color="auto"/>
        <w:left w:val="none" w:sz="0" w:space="0" w:color="auto"/>
        <w:bottom w:val="none" w:sz="0" w:space="0" w:color="auto"/>
        <w:right w:val="none" w:sz="0" w:space="0" w:color="auto"/>
      </w:divBdr>
    </w:div>
    <w:div w:id="1800032681">
      <w:bodyDiv w:val="1"/>
      <w:marLeft w:val="0"/>
      <w:marRight w:val="0"/>
      <w:marTop w:val="0"/>
      <w:marBottom w:val="0"/>
      <w:divBdr>
        <w:top w:val="none" w:sz="0" w:space="0" w:color="auto"/>
        <w:left w:val="none" w:sz="0" w:space="0" w:color="auto"/>
        <w:bottom w:val="none" w:sz="0" w:space="0" w:color="auto"/>
        <w:right w:val="none" w:sz="0" w:space="0" w:color="auto"/>
      </w:divBdr>
    </w:div>
    <w:div w:id="1856992252">
      <w:bodyDiv w:val="1"/>
      <w:marLeft w:val="0"/>
      <w:marRight w:val="0"/>
      <w:marTop w:val="0"/>
      <w:marBottom w:val="0"/>
      <w:divBdr>
        <w:top w:val="none" w:sz="0" w:space="0" w:color="auto"/>
        <w:left w:val="none" w:sz="0" w:space="0" w:color="auto"/>
        <w:bottom w:val="none" w:sz="0" w:space="0" w:color="auto"/>
        <w:right w:val="none" w:sz="0" w:space="0" w:color="auto"/>
      </w:divBdr>
    </w:div>
    <w:div w:id="1882327350">
      <w:bodyDiv w:val="1"/>
      <w:marLeft w:val="0"/>
      <w:marRight w:val="0"/>
      <w:marTop w:val="0"/>
      <w:marBottom w:val="0"/>
      <w:divBdr>
        <w:top w:val="none" w:sz="0" w:space="0" w:color="auto"/>
        <w:left w:val="none" w:sz="0" w:space="0" w:color="auto"/>
        <w:bottom w:val="none" w:sz="0" w:space="0" w:color="auto"/>
        <w:right w:val="none" w:sz="0" w:space="0" w:color="auto"/>
      </w:divBdr>
    </w:div>
    <w:div w:id="1975211825">
      <w:bodyDiv w:val="1"/>
      <w:marLeft w:val="0"/>
      <w:marRight w:val="0"/>
      <w:marTop w:val="0"/>
      <w:marBottom w:val="0"/>
      <w:divBdr>
        <w:top w:val="none" w:sz="0" w:space="0" w:color="auto"/>
        <w:left w:val="none" w:sz="0" w:space="0" w:color="auto"/>
        <w:bottom w:val="none" w:sz="0" w:space="0" w:color="auto"/>
        <w:right w:val="none" w:sz="0" w:space="0" w:color="auto"/>
      </w:divBdr>
    </w:div>
    <w:div w:id="1975525696">
      <w:bodyDiv w:val="1"/>
      <w:marLeft w:val="0"/>
      <w:marRight w:val="0"/>
      <w:marTop w:val="0"/>
      <w:marBottom w:val="0"/>
      <w:divBdr>
        <w:top w:val="none" w:sz="0" w:space="0" w:color="auto"/>
        <w:left w:val="none" w:sz="0" w:space="0" w:color="auto"/>
        <w:bottom w:val="none" w:sz="0" w:space="0" w:color="auto"/>
        <w:right w:val="none" w:sz="0" w:space="0" w:color="auto"/>
      </w:divBdr>
    </w:div>
    <w:div w:id="2040080440">
      <w:bodyDiv w:val="1"/>
      <w:marLeft w:val="0"/>
      <w:marRight w:val="0"/>
      <w:marTop w:val="0"/>
      <w:marBottom w:val="0"/>
      <w:divBdr>
        <w:top w:val="none" w:sz="0" w:space="0" w:color="auto"/>
        <w:left w:val="none" w:sz="0" w:space="0" w:color="auto"/>
        <w:bottom w:val="none" w:sz="0" w:space="0" w:color="auto"/>
        <w:right w:val="none" w:sz="0" w:space="0" w:color="auto"/>
      </w:divBdr>
    </w:div>
    <w:div w:id="2060812190">
      <w:bodyDiv w:val="1"/>
      <w:marLeft w:val="0"/>
      <w:marRight w:val="0"/>
      <w:marTop w:val="0"/>
      <w:marBottom w:val="0"/>
      <w:divBdr>
        <w:top w:val="none" w:sz="0" w:space="0" w:color="auto"/>
        <w:left w:val="none" w:sz="0" w:space="0" w:color="auto"/>
        <w:bottom w:val="none" w:sz="0" w:space="0" w:color="auto"/>
        <w:right w:val="none" w:sz="0" w:space="0" w:color="auto"/>
      </w:divBdr>
    </w:div>
    <w:div w:id="21041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gration4development.org/sites/m4d.emakina-eu.net/files/final_report_reducing_the_cost_of_migrant_remittances1.pdf" TargetMode="External"/><Relationship Id="rId18" Type="http://schemas.openxmlformats.org/officeDocument/2006/relationships/hyperlink" Target="http://gfmd.org/pfp/ppd/2392" TargetMode="External"/><Relationship Id="rId26" Type="http://schemas.openxmlformats.org/officeDocument/2006/relationships/hyperlink" Target="http://gfmd.org/pfp/ppd/2342" TargetMode="External"/><Relationship Id="rId39" Type="http://schemas.openxmlformats.org/officeDocument/2006/relationships/hyperlink" Target="http://www.gfmd.org/pfp/ppd/97" TargetMode="External"/><Relationship Id="rId3" Type="http://schemas.openxmlformats.org/officeDocument/2006/relationships/styles" Target="styles.xml"/><Relationship Id="rId21" Type="http://schemas.openxmlformats.org/officeDocument/2006/relationships/hyperlink" Target="http://gfmd.org/pfp/ppd/2347" TargetMode="External"/><Relationship Id="rId34" Type="http://schemas.openxmlformats.org/officeDocument/2006/relationships/footer" Target="footer1.xml"/><Relationship Id="rId42" Type="http://schemas.openxmlformats.org/officeDocument/2006/relationships/hyperlink" Target="https://www.gfmd.org/pfp/ppd/8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ws.admin.ch/NSBSubscriber/message/attachments/15718.pdf" TargetMode="External"/><Relationship Id="rId17" Type="http://schemas.openxmlformats.org/officeDocument/2006/relationships/hyperlink" Target="http://gfmd.org/pfp/ppd/1865" TargetMode="External"/><Relationship Id="rId25" Type="http://schemas.openxmlformats.org/officeDocument/2006/relationships/hyperlink" Target="http://gfmd.org/pfp/ppd/52" TargetMode="External"/><Relationship Id="rId33" Type="http://schemas.openxmlformats.org/officeDocument/2006/relationships/image" Target="media/image6.png"/><Relationship Id="rId38" Type="http://schemas.openxmlformats.org/officeDocument/2006/relationships/hyperlink" Target="https://gfmd.org/pfp/ppd/6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fmd.org/pfp/ppd/1715" TargetMode="External"/><Relationship Id="rId20" Type="http://schemas.openxmlformats.org/officeDocument/2006/relationships/hyperlink" Target="http://gfmd.org/pfp/ppd/2293" TargetMode="External"/><Relationship Id="rId29" Type="http://schemas.openxmlformats.org/officeDocument/2006/relationships/image" Target="media/image2.jpeg"/><Relationship Id="rId41" Type="http://schemas.openxmlformats.org/officeDocument/2006/relationships/hyperlink" Target="https://www.gfmd.org/pfp/ppd/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ldtransfair.de/" TargetMode="External"/><Relationship Id="rId24" Type="http://schemas.openxmlformats.org/officeDocument/2006/relationships/hyperlink" Target="http://gfmd.org/pfp/ppd/1689" TargetMode="External"/><Relationship Id="rId32" Type="http://schemas.openxmlformats.org/officeDocument/2006/relationships/image" Target="media/image5.png"/><Relationship Id="rId37" Type="http://schemas.openxmlformats.org/officeDocument/2006/relationships/hyperlink" Target="https://gfmd.org/pfp/ppd/2295" TargetMode="External"/><Relationship Id="rId40" Type="http://schemas.openxmlformats.org/officeDocument/2006/relationships/hyperlink" Target="http://www.gfmd.org/pfp/ppd/376" TargetMode="External"/><Relationship Id="rId45" Type="http://schemas.openxmlformats.org/officeDocument/2006/relationships/hyperlink" Target="http://www.gfmd.org/pfp/ppd/2251" TargetMode="External"/><Relationship Id="rId5" Type="http://schemas.openxmlformats.org/officeDocument/2006/relationships/webSettings" Target="webSettings.xml"/><Relationship Id="rId15" Type="http://schemas.openxmlformats.org/officeDocument/2006/relationships/hyperlink" Target="http://gfmd.org/pfp/ppd/2640" TargetMode="External"/><Relationship Id="rId23" Type="http://schemas.openxmlformats.org/officeDocument/2006/relationships/hyperlink" Target="http://gfmd.org/pfp/ppd/2167" TargetMode="External"/><Relationship Id="rId28" Type="http://schemas.openxmlformats.org/officeDocument/2006/relationships/hyperlink" Target="http://gfmd.org/pfp/ppd/103" TargetMode="External"/><Relationship Id="rId36" Type="http://schemas.openxmlformats.org/officeDocument/2006/relationships/hyperlink" Target="http://www.gfmd.org/pfp/ppd/2229" TargetMode="External"/><Relationship Id="rId10" Type="http://schemas.openxmlformats.org/officeDocument/2006/relationships/hyperlink" Target="http://www.moneyfromsweden.se/" TargetMode="External"/><Relationship Id="rId19" Type="http://schemas.openxmlformats.org/officeDocument/2006/relationships/hyperlink" Target="http://gfmd.org/pfp/ppd/2636" TargetMode="External"/><Relationship Id="rId31" Type="http://schemas.openxmlformats.org/officeDocument/2006/relationships/image" Target="media/image4.png"/><Relationship Id="rId44" Type="http://schemas.openxmlformats.org/officeDocument/2006/relationships/hyperlink" Target="http://www.gfmd.org/pfp/ppd/224" TargetMode="External"/><Relationship Id="rId4" Type="http://schemas.openxmlformats.org/officeDocument/2006/relationships/settings" Target="settings.xml"/><Relationship Id="rId9" Type="http://schemas.openxmlformats.org/officeDocument/2006/relationships/hyperlink" Target="https://www.gfmd.org/pfp/ppd/2215" TargetMode="External"/><Relationship Id="rId14" Type="http://schemas.openxmlformats.org/officeDocument/2006/relationships/hyperlink" Target="http://gfmd.org/pfp/ppd/1639" TargetMode="External"/><Relationship Id="rId22" Type="http://schemas.openxmlformats.org/officeDocument/2006/relationships/hyperlink" Target="http://gfmd.org/pfp/ppd/327" TargetMode="External"/><Relationship Id="rId27" Type="http://schemas.openxmlformats.org/officeDocument/2006/relationships/hyperlink" Target="http://gfmd.org/pfp/ppd/2389" TargetMode="External"/><Relationship Id="rId30" Type="http://schemas.openxmlformats.org/officeDocument/2006/relationships/image" Target="media/image3.png"/><Relationship Id="rId35" Type="http://schemas.openxmlformats.org/officeDocument/2006/relationships/hyperlink" Target="http://www.gfmd.org/pfp/ppd/85" TargetMode="External"/><Relationship Id="rId43" Type="http://schemas.openxmlformats.org/officeDocument/2006/relationships/hyperlink" Target="https://www.gfmd.org/pfp/ppd/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fmd.org/pf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F4A2-9376-468C-BC43-89105288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5593</Words>
  <Characters>31886</Characters>
  <Application>Microsoft Office Word</Application>
  <DocSecurity>0</DocSecurity>
  <Lines>265</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STAR</cp:lastModifiedBy>
  <cp:revision>2</cp:revision>
  <cp:lastPrinted>2017-03-23T13:21:00Z</cp:lastPrinted>
  <dcterms:created xsi:type="dcterms:W3CDTF">2017-03-28T21:22:00Z</dcterms:created>
  <dcterms:modified xsi:type="dcterms:W3CDTF">2017-03-28T21:22:00Z</dcterms:modified>
</cp:coreProperties>
</file>